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6C61" w:rsidRPr="00546D67" w:rsidRDefault="005C6C61" w:rsidP="005C6C61">
      <w:pPr>
        <w:rPr>
          <w:rFonts w:ascii="Segoe UI" w:hAnsi="Segoe UI" w:cs="Segoe UI"/>
          <w:sz w:val="6"/>
          <w:szCs w:val="6"/>
        </w:rPr>
      </w:pPr>
    </w:p>
    <w:tbl>
      <w:tblPr>
        <w:tblW w:w="10278"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78"/>
      </w:tblGrid>
      <w:tr w:rsidR="005C6C61" w:rsidRPr="00546D67" w:rsidTr="00646B10">
        <w:tc>
          <w:tcPr>
            <w:tcW w:w="10278" w:type="dxa"/>
          </w:tcPr>
          <w:p w:rsidR="005C6C61" w:rsidRPr="00546D67" w:rsidRDefault="005C6C61" w:rsidP="00646B10">
            <w:pPr>
              <w:rPr>
                <w:rFonts w:ascii="Segoe UI" w:hAnsi="Segoe UI" w:cs="Segoe UI"/>
                <w:sz w:val="18"/>
                <w:szCs w:val="18"/>
              </w:rPr>
            </w:pPr>
            <w:r w:rsidRPr="00546D67">
              <w:rPr>
                <w:rFonts w:ascii="Segoe UI" w:eastAsia="Segoe UI" w:hAnsi="Segoe UI" w:cs="Segoe UI"/>
                <w:b/>
                <w:sz w:val="14"/>
                <w:szCs w:val="14"/>
                <w:lang w:bidi="uk-UA"/>
              </w:rPr>
              <w:t>ПРИЗНАЧЕННЯ</w:t>
            </w:r>
            <w:r w:rsidR="00CB0416" w:rsidRPr="00CB0416">
              <w:rPr>
                <w:rFonts w:ascii="Segoe UI" w:eastAsia="Segoe UI" w:hAnsi="Segoe UI" w:cs="Segoe UI"/>
                <w:b/>
                <w:sz w:val="14"/>
                <w:szCs w:val="14"/>
                <w:lang w:bidi="uk-UA"/>
              </w:rPr>
              <w:t>.</w:t>
            </w:r>
            <w:r w:rsidRPr="00546D67">
              <w:rPr>
                <w:rFonts w:ascii="Segoe UI" w:eastAsia="Segoe UI" w:hAnsi="Segoe UI" w:cs="Segoe UI"/>
                <w:sz w:val="18"/>
                <w:szCs w:val="18"/>
                <w:lang w:bidi="uk-UA"/>
              </w:rPr>
              <w:t xml:space="preserve"> </w:t>
            </w:r>
            <w:r w:rsidRPr="00546D67">
              <w:rPr>
                <w:rFonts w:ascii="Segoe UI" w:eastAsia="Segoe UI" w:hAnsi="Segoe UI" w:cs="Segoe UI"/>
                <w:sz w:val="14"/>
                <w:szCs w:val="14"/>
                <w:lang w:bidi="uk-UA"/>
              </w:rPr>
              <w:t>Місцеві шкільні округи повинні проконсультуватися з представниками приватних шкіл та представниками батьків учнів, що відповідають вимогам до спеціального навчання, які були направлені батьками в приватні школи.  Після проведення своєчасної змістовної консультації шкільний округ повинен отримати та зберегти письмову заяву, підписану представниками задіяних приватних шкіл.  Якщо представники шкіл не представлять підписаної заяви, округ повинен направити протокол консультаційного процесу до Офісу інспектора з державної освіти (Office of Superintendent of Public Instruction, OSPI).  Згідно WAC 392-172A-04020, своєчасний змістовний консультаційний процес на етапі проектування та розробки програми спеціального навчання та пов'язаних з ним послуг для учнів з інвалідністю, які поміщені в приватні школи батьками, повинен включати п'ять основних питань для обговорення.</w:t>
            </w:r>
          </w:p>
        </w:tc>
      </w:tr>
    </w:tbl>
    <w:p w:rsidR="005C6C61" w:rsidRPr="00546D67" w:rsidRDefault="005C6C61" w:rsidP="005C6C61">
      <w:pPr>
        <w:rPr>
          <w:rFonts w:ascii="Segoe UI" w:hAnsi="Segoe UI" w:cs="Segoe UI"/>
          <w:sz w:val="18"/>
          <w:szCs w:val="18"/>
        </w:rPr>
      </w:pPr>
    </w:p>
    <w:p w:rsidR="005C6C61" w:rsidRPr="00546D67" w:rsidRDefault="005C6C61" w:rsidP="005C6C61">
      <w:pPr>
        <w:pStyle w:val="Heading1"/>
        <w:jc w:val="center"/>
        <w:rPr>
          <w:rFonts w:ascii="Segoe UI" w:hAnsi="Segoe UI" w:cs="Segoe UI"/>
          <w:szCs w:val="24"/>
        </w:rPr>
      </w:pPr>
      <w:r w:rsidRPr="00546D67">
        <w:rPr>
          <w:rFonts w:ascii="Segoe UI" w:eastAsia="Segoe UI" w:hAnsi="Segoe UI" w:cs="Segoe UI"/>
          <w:szCs w:val="24"/>
          <w:lang w:bidi="uk-UA"/>
        </w:rPr>
        <w:t>ПРОТОКОЛ КОНСУЛЬТАЦІЙНОГО ПРОЦЕСУ</w:t>
      </w:r>
    </w:p>
    <w:p w:rsidR="005C6C61" w:rsidRPr="00546D67" w:rsidRDefault="005C6C61" w:rsidP="005C6C61">
      <w:pPr>
        <w:rPr>
          <w:rFonts w:ascii="Segoe UI" w:hAnsi="Segoe UI" w:cs="Segoe UI"/>
          <w:sz w:val="14"/>
          <w:szCs w:val="14"/>
        </w:rPr>
      </w:pPr>
    </w:p>
    <w:tbl>
      <w:tblPr>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for the particpant names, the name of the private school and the date of the consultation."/>
      </w:tblPr>
      <w:tblGrid>
        <w:gridCol w:w="1347"/>
        <w:gridCol w:w="1780"/>
        <w:gridCol w:w="3468"/>
        <w:gridCol w:w="3403"/>
      </w:tblGrid>
      <w:tr w:rsidR="005C6C61" w:rsidRPr="00546D67" w:rsidTr="00235961">
        <w:trPr>
          <w:trHeight w:val="178"/>
        </w:trPr>
        <w:tc>
          <w:tcPr>
            <w:tcW w:w="1347" w:type="dxa"/>
            <w:tcBorders>
              <w:bottom w:val="nil"/>
              <w:right w:val="nil"/>
            </w:tcBorders>
          </w:tcPr>
          <w:p w:rsidR="005C6C61" w:rsidRPr="00546D67" w:rsidRDefault="005C6C61" w:rsidP="00646B10">
            <w:pPr>
              <w:ind w:right="-160"/>
              <w:rPr>
                <w:rFonts w:ascii="Segoe UI" w:hAnsi="Segoe UI" w:cs="Segoe UI"/>
                <w:sz w:val="18"/>
                <w:szCs w:val="18"/>
              </w:rPr>
            </w:pPr>
            <w:r w:rsidRPr="00546D67">
              <w:rPr>
                <w:rFonts w:ascii="Segoe UI" w:eastAsia="Segoe UI" w:hAnsi="Segoe UI" w:cs="Segoe UI"/>
                <w:sz w:val="18"/>
                <w:szCs w:val="18"/>
                <w:lang w:bidi="uk-UA"/>
              </w:rPr>
              <w:t>Учасники:</w:t>
            </w:r>
          </w:p>
        </w:tc>
        <w:tc>
          <w:tcPr>
            <w:tcW w:w="5248" w:type="dxa"/>
            <w:gridSpan w:val="2"/>
            <w:tcBorders>
              <w:left w:val="nil"/>
              <w:bottom w:val="nil"/>
            </w:tcBorders>
          </w:tcPr>
          <w:p w:rsidR="005C6C61" w:rsidRPr="00546D67" w:rsidRDefault="005C6C61" w:rsidP="00646B10">
            <w:pPr>
              <w:ind w:right="-160"/>
              <w:rPr>
                <w:rFonts w:ascii="Segoe UI" w:hAnsi="Segoe UI" w:cs="Segoe UI"/>
                <w:sz w:val="18"/>
                <w:szCs w:val="18"/>
              </w:rPr>
            </w:pPr>
          </w:p>
        </w:tc>
        <w:tc>
          <w:tcPr>
            <w:tcW w:w="3403" w:type="dxa"/>
            <w:tcBorders>
              <w:bottom w:val="nil"/>
            </w:tcBorders>
          </w:tcPr>
          <w:p w:rsidR="005C6C61" w:rsidRPr="00546D67" w:rsidRDefault="005C6C61" w:rsidP="00646B10">
            <w:pPr>
              <w:rPr>
                <w:rFonts w:ascii="Segoe UI" w:hAnsi="Segoe UI" w:cs="Segoe UI"/>
                <w:sz w:val="18"/>
                <w:szCs w:val="18"/>
              </w:rPr>
            </w:pPr>
            <w:r w:rsidRPr="00546D67">
              <w:rPr>
                <w:rFonts w:ascii="Segoe UI" w:eastAsia="Segoe UI" w:hAnsi="Segoe UI" w:cs="Segoe UI"/>
                <w:sz w:val="18"/>
                <w:szCs w:val="18"/>
                <w:lang w:bidi="uk-UA"/>
              </w:rPr>
              <w:t>Назви приватних шкіл:</w:t>
            </w:r>
          </w:p>
        </w:tc>
      </w:tr>
      <w:tr w:rsidR="005C6C61" w:rsidRPr="00546D67" w:rsidTr="00235961">
        <w:trPr>
          <w:trHeight w:val="539"/>
        </w:trPr>
        <w:tc>
          <w:tcPr>
            <w:tcW w:w="6595" w:type="dxa"/>
            <w:gridSpan w:val="3"/>
            <w:tcBorders>
              <w:top w:val="nil"/>
              <w:bottom w:val="single" w:sz="4" w:space="0" w:color="000000"/>
            </w:tcBorders>
            <w:vAlign w:val="center"/>
          </w:tcPr>
          <w:p w:rsidR="005C6C61" w:rsidRPr="00546D67" w:rsidRDefault="005C6C61" w:rsidP="00646B10">
            <w:pPr>
              <w:rPr>
                <w:rFonts w:ascii="Segoe UI" w:hAnsi="Segoe UI" w:cs="Segoe UI"/>
                <w:sz w:val="18"/>
                <w:szCs w:val="18"/>
              </w:rPr>
            </w:pPr>
          </w:p>
        </w:tc>
        <w:tc>
          <w:tcPr>
            <w:tcW w:w="3403" w:type="dxa"/>
            <w:vMerge w:val="restart"/>
            <w:tcBorders>
              <w:top w:val="nil"/>
            </w:tcBorders>
            <w:vAlign w:val="center"/>
          </w:tcPr>
          <w:p w:rsidR="005C6C61" w:rsidRPr="00546D67" w:rsidRDefault="005C6C61" w:rsidP="00646B10">
            <w:pPr>
              <w:rPr>
                <w:rFonts w:ascii="Segoe UI" w:hAnsi="Segoe UI" w:cs="Segoe UI"/>
                <w:sz w:val="18"/>
                <w:szCs w:val="18"/>
              </w:rPr>
            </w:pPr>
          </w:p>
        </w:tc>
      </w:tr>
      <w:tr w:rsidR="005C6C61" w:rsidRPr="00546D67" w:rsidTr="00235961">
        <w:tc>
          <w:tcPr>
            <w:tcW w:w="3127" w:type="dxa"/>
            <w:gridSpan w:val="2"/>
            <w:tcBorders>
              <w:right w:val="nil"/>
            </w:tcBorders>
          </w:tcPr>
          <w:p w:rsidR="005C6C61" w:rsidRPr="00546D67" w:rsidRDefault="005C6C61" w:rsidP="00646B10">
            <w:pPr>
              <w:ind w:right="-108"/>
              <w:rPr>
                <w:rFonts w:ascii="Segoe UI" w:hAnsi="Segoe UI" w:cs="Segoe UI"/>
                <w:sz w:val="18"/>
                <w:szCs w:val="18"/>
              </w:rPr>
            </w:pPr>
            <w:r w:rsidRPr="00546D67">
              <w:rPr>
                <w:rFonts w:ascii="Segoe UI" w:eastAsia="Segoe UI" w:hAnsi="Segoe UI" w:cs="Segoe UI"/>
                <w:sz w:val="18"/>
                <w:szCs w:val="18"/>
                <w:lang w:bidi="uk-UA"/>
              </w:rPr>
              <w:t>Дата (и) проведення консультації:</w:t>
            </w:r>
          </w:p>
        </w:tc>
        <w:tc>
          <w:tcPr>
            <w:tcW w:w="3468" w:type="dxa"/>
            <w:tcBorders>
              <w:left w:val="nil"/>
            </w:tcBorders>
          </w:tcPr>
          <w:p w:rsidR="005C6C61" w:rsidRPr="00546D67" w:rsidRDefault="005C6C61" w:rsidP="00646B10">
            <w:pPr>
              <w:jc w:val="center"/>
              <w:rPr>
                <w:rFonts w:ascii="Segoe UI" w:hAnsi="Segoe UI" w:cs="Segoe UI"/>
                <w:sz w:val="18"/>
                <w:szCs w:val="18"/>
              </w:rPr>
            </w:pPr>
          </w:p>
        </w:tc>
        <w:tc>
          <w:tcPr>
            <w:tcW w:w="3403" w:type="dxa"/>
            <w:vMerge/>
            <w:tcBorders>
              <w:top w:val="nil"/>
            </w:tcBorders>
          </w:tcPr>
          <w:p w:rsidR="005C6C61" w:rsidRPr="00546D67" w:rsidRDefault="005C6C61" w:rsidP="00646B10">
            <w:pPr>
              <w:rPr>
                <w:rFonts w:ascii="Segoe UI" w:hAnsi="Segoe UI" w:cs="Segoe UI"/>
                <w:sz w:val="18"/>
                <w:szCs w:val="18"/>
              </w:rPr>
            </w:pPr>
          </w:p>
        </w:tc>
      </w:tr>
    </w:tbl>
    <w:p w:rsidR="005C6C61" w:rsidRPr="00546D67" w:rsidRDefault="005C6C61" w:rsidP="005C6C61">
      <w:pPr>
        <w:rPr>
          <w:rFonts w:ascii="Segoe UI" w:hAnsi="Segoe UI" w:cs="Segoe UI"/>
          <w:sz w:val="18"/>
          <w:szCs w:val="18"/>
        </w:rPr>
      </w:pPr>
    </w:p>
    <w:tbl>
      <w:tblPr>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for the points of discussion in the consultation."/>
      </w:tblPr>
      <w:tblGrid>
        <w:gridCol w:w="9998"/>
      </w:tblGrid>
      <w:tr w:rsidR="005C6C61" w:rsidRPr="00546D67" w:rsidTr="00016A1F">
        <w:trPr>
          <w:trHeight w:val="332"/>
        </w:trPr>
        <w:tc>
          <w:tcPr>
            <w:tcW w:w="9998" w:type="dxa"/>
            <w:tcBorders>
              <w:bottom w:val="single" w:sz="4" w:space="0" w:color="000000"/>
            </w:tcBorders>
            <w:vAlign w:val="center"/>
          </w:tcPr>
          <w:p w:rsidR="005C6C61" w:rsidRPr="00546D67" w:rsidRDefault="005C6C61" w:rsidP="00646B10">
            <w:pPr>
              <w:rPr>
                <w:rFonts w:ascii="Segoe UI" w:hAnsi="Segoe UI" w:cs="Segoe UI"/>
                <w:b/>
                <w:i/>
                <w:sz w:val="20"/>
              </w:rPr>
            </w:pPr>
            <w:r w:rsidRPr="00546D67">
              <w:rPr>
                <w:rFonts w:ascii="Segoe UI" w:eastAsia="Segoe UI" w:hAnsi="Segoe UI" w:cs="Segoe UI"/>
                <w:b/>
                <w:sz w:val="20"/>
                <w:lang w:bidi="uk-UA"/>
              </w:rPr>
              <w:t xml:space="preserve">Питання для обговорення: </w:t>
            </w:r>
          </w:p>
        </w:tc>
      </w:tr>
      <w:tr w:rsidR="005C6C61" w:rsidRPr="00546D67" w:rsidTr="00016A1F">
        <w:tc>
          <w:tcPr>
            <w:tcW w:w="9998" w:type="dxa"/>
            <w:tcBorders>
              <w:bottom w:val="nil"/>
            </w:tcBorders>
          </w:tcPr>
          <w:p w:rsidR="005C6C61" w:rsidRPr="00546D67" w:rsidRDefault="005C6C61" w:rsidP="005C6C61">
            <w:pPr>
              <w:numPr>
                <w:ilvl w:val="0"/>
                <w:numId w:val="1"/>
              </w:numPr>
              <w:ind w:left="450" w:hanging="270"/>
              <w:rPr>
                <w:rFonts w:ascii="Segoe UI" w:hAnsi="Segoe UI" w:cs="Segoe UI"/>
                <w:sz w:val="18"/>
                <w:szCs w:val="18"/>
              </w:rPr>
            </w:pPr>
            <w:r w:rsidRPr="00546D67">
              <w:rPr>
                <w:rFonts w:ascii="Segoe UI" w:eastAsia="Segoe UI" w:hAnsi="Segoe UI" w:cs="Segoe UI"/>
                <w:b/>
                <w:sz w:val="18"/>
                <w:szCs w:val="18"/>
                <w:lang w:bidi="uk-UA"/>
              </w:rPr>
              <w:t xml:space="preserve">Пошук дітей з інвалідністю </w:t>
            </w:r>
            <w:r w:rsidRPr="00546D67">
              <w:rPr>
                <w:rFonts w:ascii="Segoe UI" w:eastAsia="Segoe UI" w:hAnsi="Segoe UI" w:cs="Segoe UI"/>
                <w:i/>
                <w:sz w:val="16"/>
                <w:szCs w:val="16"/>
                <w:lang w:bidi="uk-UA"/>
              </w:rPr>
              <w:t>(обговорення того, як учні з підозрюваною інвалідністю, які поміщені батьками в приватні школи, можуть на рівних правах брати участь в процесі, у тому числі, як інформуватимуться про процес окремі особи):</w:t>
            </w:r>
          </w:p>
        </w:tc>
      </w:tr>
      <w:tr w:rsidR="005C6C61" w:rsidRPr="00546D67" w:rsidTr="00016A1F">
        <w:trPr>
          <w:trHeight w:val="1332"/>
        </w:trPr>
        <w:tc>
          <w:tcPr>
            <w:tcW w:w="9998" w:type="dxa"/>
            <w:tcBorders>
              <w:top w:val="nil"/>
              <w:bottom w:val="single" w:sz="4" w:space="0" w:color="000000"/>
            </w:tcBorders>
          </w:tcPr>
          <w:p w:rsidR="005C6C61" w:rsidRPr="00546D67" w:rsidRDefault="005C6C61" w:rsidP="00016A1F">
            <w:pPr>
              <w:ind w:left="450" w:hanging="270"/>
              <w:rPr>
                <w:rFonts w:ascii="Segoe UI" w:hAnsi="Segoe UI" w:cs="Segoe UI"/>
                <w:sz w:val="18"/>
                <w:szCs w:val="18"/>
              </w:rPr>
            </w:pPr>
          </w:p>
        </w:tc>
      </w:tr>
      <w:tr w:rsidR="005C6C61" w:rsidRPr="00546D67" w:rsidTr="00016A1F">
        <w:tc>
          <w:tcPr>
            <w:tcW w:w="9998" w:type="dxa"/>
            <w:tcBorders>
              <w:bottom w:val="nil"/>
            </w:tcBorders>
          </w:tcPr>
          <w:p w:rsidR="005C6C61" w:rsidRPr="00546D67" w:rsidRDefault="005C6C61" w:rsidP="005C6C61">
            <w:pPr>
              <w:numPr>
                <w:ilvl w:val="0"/>
                <w:numId w:val="1"/>
              </w:numPr>
              <w:ind w:left="450" w:hanging="270"/>
              <w:rPr>
                <w:rFonts w:ascii="Segoe UI" w:hAnsi="Segoe UI" w:cs="Segoe UI"/>
                <w:sz w:val="16"/>
                <w:szCs w:val="16"/>
              </w:rPr>
            </w:pPr>
            <w:bookmarkStart w:id="0" w:name="_GoBack"/>
            <w:r w:rsidRPr="00546D67">
              <w:rPr>
                <w:rFonts w:ascii="Segoe UI" w:eastAsia="Segoe UI" w:hAnsi="Segoe UI" w:cs="Segoe UI"/>
                <w:b/>
                <w:sz w:val="18"/>
                <w:szCs w:val="18"/>
                <w:lang w:bidi="uk-UA"/>
              </w:rPr>
              <w:t xml:space="preserve">Пропорційна доля </w:t>
            </w:r>
            <w:r w:rsidRPr="00546D67">
              <w:rPr>
                <w:rFonts w:ascii="Segoe UI" w:eastAsia="Segoe UI" w:hAnsi="Segoe UI" w:cs="Segoe UI"/>
                <w:i/>
                <w:sz w:val="16"/>
                <w:szCs w:val="16"/>
                <w:lang w:bidi="uk-UA"/>
              </w:rPr>
              <w:t>(аналіз формули визначення пропорційної долі федеральних фондів, що виділяються на обслуговування учнів з інвалідністю, які поміщені батьками в приватні школи):</w:t>
            </w:r>
          </w:p>
        </w:tc>
      </w:tr>
      <w:bookmarkEnd w:id="0"/>
      <w:tr w:rsidR="005C6C61" w:rsidRPr="00546D67" w:rsidTr="00016A1F">
        <w:trPr>
          <w:trHeight w:val="963"/>
        </w:trPr>
        <w:tc>
          <w:tcPr>
            <w:tcW w:w="9998" w:type="dxa"/>
            <w:tcBorders>
              <w:top w:val="nil"/>
              <w:bottom w:val="single" w:sz="4" w:space="0" w:color="000000"/>
            </w:tcBorders>
          </w:tcPr>
          <w:p w:rsidR="005C6C61" w:rsidRPr="00546D67" w:rsidRDefault="005C6C61" w:rsidP="00016A1F">
            <w:pPr>
              <w:ind w:left="450" w:hanging="270"/>
              <w:rPr>
                <w:rFonts w:ascii="Segoe UI" w:hAnsi="Segoe UI" w:cs="Segoe UI"/>
                <w:sz w:val="18"/>
                <w:szCs w:val="18"/>
              </w:rPr>
            </w:pPr>
          </w:p>
        </w:tc>
      </w:tr>
      <w:tr w:rsidR="005C6C61" w:rsidRPr="00546D67" w:rsidTr="00016A1F">
        <w:tc>
          <w:tcPr>
            <w:tcW w:w="9998" w:type="dxa"/>
            <w:tcBorders>
              <w:bottom w:val="nil"/>
            </w:tcBorders>
          </w:tcPr>
          <w:p w:rsidR="005C6C61" w:rsidRPr="00546D67" w:rsidRDefault="005C6C61" w:rsidP="005C6C61">
            <w:pPr>
              <w:numPr>
                <w:ilvl w:val="0"/>
                <w:numId w:val="1"/>
              </w:numPr>
              <w:ind w:left="450" w:hanging="270"/>
              <w:rPr>
                <w:rFonts w:ascii="Segoe UI" w:hAnsi="Segoe UI" w:cs="Segoe UI"/>
                <w:sz w:val="18"/>
                <w:szCs w:val="18"/>
              </w:rPr>
            </w:pPr>
            <w:r w:rsidRPr="00546D67">
              <w:rPr>
                <w:rFonts w:ascii="Segoe UI" w:eastAsia="Segoe UI" w:hAnsi="Segoe UI" w:cs="Segoe UI"/>
                <w:b/>
                <w:sz w:val="18"/>
                <w:szCs w:val="18"/>
                <w:lang w:bidi="uk-UA"/>
              </w:rPr>
              <w:t xml:space="preserve">Консультаційний процес </w:t>
            </w:r>
            <w:r w:rsidRPr="00546D67">
              <w:rPr>
                <w:rFonts w:ascii="Segoe UI" w:eastAsia="Segoe UI" w:hAnsi="Segoe UI" w:cs="Segoe UI"/>
                <w:i/>
                <w:sz w:val="16"/>
                <w:szCs w:val="16"/>
                <w:lang w:bidi="uk-UA"/>
              </w:rPr>
              <w:t>(визначення того, як процес діятиме впродовж навчального року та забезпечуватиме цілеспрямоване залучення до програми спеціального навчання та пов'язаних з ним послуг учнів з інвалідністю, які поміщені батьками в приватні школи):</w:t>
            </w:r>
          </w:p>
        </w:tc>
      </w:tr>
      <w:tr w:rsidR="005C6C61" w:rsidRPr="00546D67" w:rsidTr="00016A1F">
        <w:trPr>
          <w:trHeight w:val="1152"/>
        </w:trPr>
        <w:tc>
          <w:tcPr>
            <w:tcW w:w="9998" w:type="dxa"/>
            <w:tcBorders>
              <w:top w:val="nil"/>
              <w:bottom w:val="single" w:sz="4" w:space="0" w:color="000000"/>
            </w:tcBorders>
          </w:tcPr>
          <w:p w:rsidR="005C6C61" w:rsidRPr="00546D67" w:rsidRDefault="005C6C61" w:rsidP="00016A1F">
            <w:pPr>
              <w:ind w:left="450" w:hanging="270"/>
              <w:rPr>
                <w:rFonts w:ascii="Segoe UI" w:hAnsi="Segoe UI" w:cs="Segoe UI"/>
                <w:sz w:val="20"/>
              </w:rPr>
            </w:pPr>
          </w:p>
        </w:tc>
      </w:tr>
      <w:tr w:rsidR="005C6C61" w:rsidRPr="00546D67" w:rsidTr="00016A1F">
        <w:trPr>
          <w:trHeight w:val="431"/>
        </w:trPr>
        <w:tc>
          <w:tcPr>
            <w:tcW w:w="9998" w:type="dxa"/>
            <w:tcBorders>
              <w:bottom w:val="nil"/>
            </w:tcBorders>
          </w:tcPr>
          <w:p w:rsidR="005C6C61" w:rsidRPr="00546D67" w:rsidRDefault="005C6C61" w:rsidP="005C6C61">
            <w:pPr>
              <w:numPr>
                <w:ilvl w:val="0"/>
                <w:numId w:val="1"/>
              </w:numPr>
              <w:ind w:left="450" w:hanging="270"/>
              <w:rPr>
                <w:rFonts w:ascii="Segoe UI" w:hAnsi="Segoe UI" w:cs="Segoe UI"/>
                <w:sz w:val="18"/>
                <w:szCs w:val="18"/>
              </w:rPr>
            </w:pPr>
            <w:r w:rsidRPr="00546D67">
              <w:rPr>
                <w:rFonts w:ascii="Segoe UI" w:eastAsia="Segoe UI" w:hAnsi="Segoe UI" w:cs="Segoe UI"/>
                <w:b/>
                <w:sz w:val="18"/>
                <w:szCs w:val="18"/>
                <w:lang w:bidi="uk-UA"/>
              </w:rPr>
              <w:t xml:space="preserve">Послуги спеціального навчання </w:t>
            </w:r>
            <w:r w:rsidRPr="00546D67">
              <w:rPr>
                <w:rFonts w:ascii="Segoe UI" w:eastAsia="Segoe UI" w:hAnsi="Segoe UI" w:cs="Segoe UI"/>
                <w:i/>
                <w:sz w:val="16"/>
                <w:szCs w:val="16"/>
                <w:lang w:bidi="uk-UA"/>
              </w:rPr>
              <w:t>(обговорення того, як, де та ким надаватимуться послуги спеціального навчання учням з інвалідністю, які поміщені батьками в приватні школи, у тому числі, як та коли будуть прийматися рішення):</w:t>
            </w:r>
            <w:r w:rsidRPr="00546D67">
              <w:rPr>
                <w:rFonts w:ascii="Segoe UI" w:eastAsia="Segoe UI" w:hAnsi="Segoe UI" w:cs="Segoe UI"/>
                <w:i/>
                <w:sz w:val="18"/>
                <w:szCs w:val="18"/>
                <w:lang w:bidi="uk-UA"/>
              </w:rPr>
              <w:t xml:space="preserve"> </w:t>
            </w:r>
          </w:p>
        </w:tc>
      </w:tr>
      <w:tr w:rsidR="005C6C61" w:rsidRPr="00546D67" w:rsidTr="00016A1F">
        <w:trPr>
          <w:trHeight w:val="1107"/>
        </w:trPr>
        <w:tc>
          <w:tcPr>
            <w:tcW w:w="9998" w:type="dxa"/>
            <w:tcBorders>
              <w:top w:val="nil"/>
              <w:bottom w:val="single" w:sz="4" w:space="0" w:color="000000"/>
            </w:tcBorders>
          </w:tcPr>
          <w:p w:rsidR="005C6C61" w:rsidRPr="00546D67" w:rsidRDefault="005C6C61" w:rsidP="00016A1F">
            <w:pPr>
              <w:ind w:left="450" w:hanging="270"/>
              <w:rPr>
                <w:rFonts w:ascii="Segoe UI" w:hAnsi="Segoe UI" w:cs="Segoe UI"/>
                <w:sz w:val="18"/>
                <w:szCs w:val="18"/>
              </w:rPr>
            </w:pPr>
          </w:p>
        </w:tc>
      </w:tr>
      <w:tr w:rsidR="005C6C61" w:rsidRPr="00546D67" w:rsidTr="00016A1F">
        <w:tc>
          <w:tcPr>
            <w:tcW w:w="9998" w:type="dxa"/>
            <w:tcBorders>
              <w:bottom w:val="nil"/>
            </w:tcBorders>
          </w:tcPr>
          <w:p w:rsidR="005C6C61" w:rsidRPr="00546D67" w:rsidRDefault="005C6C61" w:rsidP="005C6C61">
            <w:pPr>
              <w:numPr>
                <w:ilvl w:val="0"/>
                <w:numId w:val="1"/>
              </w:numPr>
              <w:ind w:left="450" w:hanging="270"/>
              <w:rPr>
                <w:rFonts w:ascii="Segoe UI" w:hAnsi="Segoe UI" w:cs="Segoe UI"/>
                <w:sz w:val="18"/>
                <w:szCs w:val="18"/>
              </w:rPr>
            </w:pPr>
            <w:r w:rsidRPr="00546D67">
              <w:rPr>
                <w:rFonts w:ascii="Segoe UI" w:eastAsia="Segoe UI" w:hAnsi="Segoe UI" w:cs="Segoe UI"/>
                <w:b/>
                <w:sz w:val="18"/>
                <w:szCs w:val="18"/>
                <w:lang w:bidi="uk-UA"/>
              </w:rPr>
              <w:t xml:space="preserve">Письмове пояснення розбіжностей </w:t>
            </w:r>
            <w:r w:rsidRPr="00546D67">
              <w:rPr>
                <w:rFonts w:ascii="Segoe UI" w:eastAsia="Segoe UI" w:hAnsi="Segoe UI" w:cs="Segoe UI"/>
                <w:i/>
                <w:sz w:val="16"/>
                <w:szCs w:val="16"/>
                <w:lang w:bidi="uk-UA"/>
              </w:rPr>
              <w:t>(опис процедури надання округом письмового пояснення в разі розбіжностей з офіційними особами приватної школи з приводу процесу надання або виду послуг, що надаються):</w:t>
            </w:r>
          </w:p>
        </w:tc>
      </w:tr>
      <w:tr w:rsidR="005C6C61" w:rsidRPr="00546D67" w:rsidTr="00016A1F">
        <w:trPr>
          <w:trHeight w:val="1386"/>
        </w:trPr>
        <w:tc>
          <w:tcPr>
            <w:tcW w:w="9998" w:type="dxa"/>
            <w:tcBorders>
              <w:top w:val="nil"/>
            </w:tcBorders>
          </w:tcPr>
          <w:p w:rsidR="005C6C61" w:rsidRPr="00546D67" w:rsidRDefault="005C6C61" w:rsidP="00016A1F">
            <w:pPr>
              <w:ind w:left="450" w:hanging="270"/>
              <w:rPr>
                <w:rFonts w:ascii="Segoe UI" w:hAnsi="Segoe UI" w:cs="Segoe UI"/>
                <w:sz w:val="20"/>
              </w:rPr>
            </w:pPr>
          </w:p>
        </w:tc>
      </w:tr>
    </w:tbl>
    <w:p w:rsidR="005C6C61" w:rsidRPr="00546D67" w:rsidRDefault="00016A1F" w:rsidP="00016A1F">
      <w:pPr>
        <w:pStyle w:val="MonthlyUpdateText"/>
        <w:spacing w:before="720" w:after="0"/>
        <w:rPr>
          <w:rFonts w:cs="Segoe UI"/>
          <w:b/>
          <w:sz w:val="18"/>
          <w:szCs w:val="20"/>
        </w:rPr>
      </w:pPr>
      <w:r w:rsidRPr="00546D67">
        <w:rPr>
          <w:rFonts w:cs="Segoe UI"/>
          <w:noProof/>
          <w:sz w:val="16"/>
          <w:szCs w:val="16"/>
          <w:lang w:bidi="uk-UA"/>
        </w:rPr>
        <w:drawing>
          <wp:inline distT="0" distB="0" distL="0" distR="0" wp14:anchorId="08E1BD35" wp14:editId="572451A0">
            <wp:extent cx="571500" cy="199159"/>
            <wp:effectExtent l="0" t="0" r="0" b="0"/>
            <wp:docPr id="2" name="Picture 6" descr="Creative Commons Licens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546D67">
        <w:rPr>
          <w:rFonts w:cs="Segoe UI"/>
          <w:sz w:val="18"/>
          <w:szCs w:val="20"/>
          <w:lang w:bidi="uk-UA"/>
        </w:rPr>
        <w:t xml:space="preserve"> </w:t>
      </w:r>
      <w:r w:rsidRPr="00546D67">
        <w:rPr>
          <w:rFonts w:cs="Segoe UI"/>
          <w:sz w:val="16"/>
          <w:szCs w:val="16"/>
          <w:lang w:bidi="uk-UA"/>
        </w:rPr>
        <w:t xml:space="preserve">Документація процесу консультації від </w:t>
      </w:r>
      <w:hyperlink r:id="rId9" w:history="1">
        <w:r w:rsidRPr="00546D67">
          <w:rPr>
            <w:rStyle w:val="Hyperlink"/>
            <w:rFonts w:eastAsia="Times" w:cs="Segoe UI"/>
            <w:sz w:val="16"/>
            <w:szCs w:val="16"/>
            <w:lang w:bidi="uk-UA"/>
          </w:rPr>
          <w:t>Офісу головного інспектора державної освіти штату (Office of Superintendent of Public Instruction)</w:t>
        </w:r>
      </w:hyperlink>
      <w:r w:rsidRPr="00546D67">
        <w:rPr>
          <w:rFonts w:cs="Segoe UI"/>
          <w:sz w:val="16"/>
          <w:szCs w:val="16"/>
          <w:lang w:bidi="uk-UA"/>
        </w:rPr>
        <w:t xml:space="preserve"> надається за міжнародною ліцензією </w:t>
      </w:r>
      <w:hyperlink r:id="rId10" w:history="1">
        <w:r w:rsidRPr="00546D67">
          <w:rPr>
            <w:rStyle w:val="Hyperlink"/>
            <w:rFonts w:eastAsia="Times" w:cs="Segoe UI"/>
            <w:sz w:val="16"/>
            <w:szCs w:val="16"/>
            <w:lang w:bidi="uk-UA"/>
          </w:rPr>
          <w:t>Creative Commons Attribution 4.0 International License</w:t>
        </w:r>
      </w:hyperlink>
      <w:r w:rsidRPr="00546D67">
        <w:rPr>
          <w:rFonts w:cs="Segoe UI"/>
          <w:sz w:val="16"/>
          <w:szCs w:val="16"/>
          <w:lang w:bidi="uk-UA"/>
        </w:rPr>
        <w:t>.</w:t>
      </w:r>
    </w:p>
    <w:sectPr w:rsidR="005C6C61" w:rsidRPr="00546D67" w:rsidSect="00B27112">
      <w:footerReference w:type="default" r:id="rId11"/>
      <w:pgSz w:w="12240" w:h="15840" w:code="1"/>
      <w:pgMar w:top="720" w:right="1152" w:bottom="720"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76FE" w:rsidRDefault="00D076FE" w:rsidP="00D076FE">
      <w:r>
        <w:separator/>
      </w:r>
    </w:p>
  </w:endnote>
  <w:endnote w:type="continuationSeparator" w:id="0">
    <w:p w:rsidR="00D076FE" w:rsidRDefault="00D076FE" w:rsidP="00D07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954" w:rsidRPr="00B27112" w:rsidRDefault="00D076FE" w:rsidP="001D3954">
    <w:pPr>
      <w:pStyle w:val="Footer"/>
      <w:tabs>
        <w:tab w:val="clear" w:pos="9360"/>
        <w:tab w:val="right" w:pos="10170"/>
      </w:tabs>
      <w:ind w:right="-234" w:hanging="360"/>
      <w:rPr>
        <w:rFonts w:ascii="Segoe UI" w:hAnsi="Segoe UI" w:cs="Segoe UI"/>
        <w:sz w:val="18"/>
        <w:szCs w:val="18"/>
      </w:rPr>
    </w:pPr>
    <w:r w:rsidRPr="00B27112">
      <w:rPr>
        <w:rFonts w:ascii="Segoe UI" w:eastAsia="Segoe UI" w:hAnsi="Segoe UI" w:cs="Segoe UI"/>
        <w:sz w:val="18"/>
        <w:szCs w:val="18"/>
        <w:lang w:bidi="uk-UA"/>
      </w:rPr>
      <w:t>Форма 8a – Консультація приватної школи</w:t>
    </w:r>
    <w:r w:rsidRPr="00B27112">
      <w:rPr>
        <w:rFonts w:ascii="Segoe UI" w:eastAsia="Segoe UI" w:hAnsi="Segoe UI" w:cs="Segoe UI"/>
        <w:sz w:val="18"/>
        <w:szCs w:val="18"/>
        <w:lang w:bidi="uk-UA"/>
      </w:rPr>
      <w:tab/>
    </w:r>
    <w:r w:rsidRPr="00B27112">
      <w:rPr>
        <w:rFonts w:ascii="Segoe UI" w:eastAsia="Segoe UI" w:hAnsi="Segoe UI" w:cs="Segoe UI"/>
        <w:sz w:val="18"/>
        <w:szCs w:val="18"/>
        <w:lang w:bidi="uk-UA"/>
      </w:rPr>
      <w:tab/>
    </w:r>
    <w:r w:rsidRPr="00B27112">
      <w:rPr>
        <w:rStyle w:val="PageNumber"/>
        <w:rFonts w:ascii="Segoe UI" w:eastAsia="Segoe UI" w:hAnsi="Segoe UI" w:cs="Segoe UI"/>
        <w:snapToGrid w:val="0"/>
        <w:sz w:val="18"/>
        <w:szCs w:val="18"/>
        <w:lang w:bidi="uk-UA"/>
      </w:rPr>
      <w:t>Серпень 2008 р. (ред. 8/2018)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76FE" w:rsidRDefault="00D076FE" w:rsidP="00D076FE">
      <w:r>
        <w:separator/>
      </w:r>
    </w:p>
  </w:footnote>
  <w:footnote w:type="continuationSeparator" w:id="0">
    <w:p w:rsidR="00D076FE" w:rsidRDefault="00D076FE" w:rsidP="00D076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0D6CDA"/>
    <w:multiLevelType w:val="hybridMultilevel"/>
    <w:tmpl w:val="B8620190"/>
    <w:lvl w:ilvl="0" w:tplc="6F06B2E8">
      <w:start w:val="1"/>
      <w:numFmt w:val="decimal"/>
      <w:lvlText w:val="%1."/>
      <w:lvlJc w:val="left"/>
      <w:pPr>
        <w:ind w:left="720" w:hanging="360"/>
      </w:pPr>
      <w:rPr>
        <w:rFonts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C61"/>
    <w:rsid w:val="00016A1F"/>
    <w:rsid w:val="00235961"/>
    <w:rsid w:val="0054089F"/>
    <w:rsid w:val="00546D67"/>
    <w:rsid w:val="005C35C7"/>
    <w:rsid w:val="005C6C61"/>
    <w:rsid w:val="005F4B2D"/>
    <w:rsid w:val="00633DC8"/>
    <w:rsid w:val="007001E1"/>
    <w:rsid w:val="007C320D"/>
    <w:rsid w:val="008139D6"/>
    <w:rsid w:val="00957B56"/>
    <w:rsid w:val="00A466A8"/>
    <w:rsid w:val="00AB1203"/>
    <w:rsid w:val="00B27112"/>
    <w:rsid w:val="00B96A1C"/>
    <w:rsid w:val="00CB0416"/>
    <w:rsid w:val="00D076FE"/>
    <w:rsid w:val="00D63D77"/>
    <w:rsid w:val="00F471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83F325-943D-4947-952A-B26436B06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6C61"/>
    <w:pPr>
      <w:spacing w:after="0" w:line="240" w:lineRule="auto"/>
    </w:pPr>
    <w:rPr>
      <w:rFonts w:ascii="Times" w:eastAsia="Times" w:hAnsi="Times" w:cs="Times New Roman"/>
      <w:sz w:val="24"/>
      <w:szCs w:val="20"/>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contextualSpacing/>
    </w:pPr>
    <w:rPr>
      <w:rFonts w:eastAsiaTheme="majorEastAsia" w:cstheme="majorBidi"/>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Footer">
    <w:name w:val="footer"/>
    <w:basedOn w:val="Normal"/>
    <w:link w:val="FooterChar"/>
    <w:uiPriority w:val="99"/>
    <w:unhideWhenUsed/>
    <w:rsid w:val="005C6C61"/>
    <w:pPr>
      <w:tabs>
        <w:tab w:val="center" w:pos="4680"/>
        <w:tab w:val="right" w:pos="9360"/>
      </w:tabs>
    </w:pPr>
  </w:style>
  <w:style w:type="character" w:customStyle="1" w:styleId="FooterChar">
    <w:name w:val="Footer Char"/>
    <w:basedOn w:val="DefaultParagraphFont"/>
    <w:link w:val="Footer"/>
    <w:uiPriority w:val="99"/>
    <w:rsid w:val="005C6C61"/>
    <w:rPr>
      <w:rFonts w:ascii="Times" w:eastAsia="Times" w:hAnsi="Times" w:cs="Times New Roman"/>
      <w:sz w:val="24"/>
      <w:szCs w:val="20"/>
    </w:rPr>
  </w:style>
  <w:style w:type="character" w:styleId="PageNumber">
    <w:name w:val="page number"/>
    <w:basedOn w:val="DefaultParagraphFont"/>
    <w:semiHidden/>
    <w:unhideWhenUsed/>
    <w:rsid w:val="005C6C61"/>
  </w:style>
  <w:style w:type="paragraph" w:styleId="Header">
    <w:name w:val="header"/>
    <w:basedOn w:val="Normal"/>
    <w:link w:val="HeaderChar"/>
    <w:uiPriority w:val="99"/>
    <w:unhideWhenUsed/>
    <w:rsid w:val="00D076FE"/>
    <w:pPr>
      <w:tabs>
        <w:tab w:val="center" w:pos="4680"/>
        <w:tab w:val="right" w:pos="9360"/>
      </w:tabs>
    </w:pPr>
  </w:style>
  <w:style w:type="character" w:customStyle="1" w:styleId="HeaderChar">
    <w:name w:val="Header Char"/>
    <w:basedOn w:val="DefaultParagraphFont"/>
    <w:link w:val="Header"/>
    <w:uiPriority w:val="99"/>
    <w:rsid w:val="00D076FE"/>
    <w:rPr>
      <w:rFonts w:ascii="Times" w:eastAsia="Times" w:hAnsi="Times" w:cs="Times New Roman"/>
      <w:sz w:val="24"/>
      <w:szCs w:val="20"/>
    </w:rPr>
  </w:style>
  <w:style w:type="character" w:styleId="Hyperlink">
    <w:name w:val="Hyperlink"/>
    <w:rsid w:val="00016A1F"/>
    <w:rPr>
      <w:color w:val="0000FF"/>
      <w:u w:val="single"/>
    </w:rPr>
  </w:style>
  <w:style w:type="paragraph" w:customStyle="1" w:styleId="MonthlyUpdateText">
    <w:name w:val="Monthly Update Text"/>
    <w:qFormat/>
    <w:rsid w:val="00016A1F"/>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hyperlink" Target="http://www.k12.w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366</Words>
  <Characters>2089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Протокол консультаційного процесу</vt:lpstr>
    </vt:vector>
  </TitlesOfParts>
  <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консультаційного процесу</dc:title>
  <dc:subject/>
  <dc:creator>OSPI, Special Education</dc:creator>
  <cp:keywords>спеціальне навчання, модельна форма</cp:keywords>
  <dc:description/>
  <cp:lastModifiedBy>Dynamic Language</cp:lastModifiedBy>
  <cp:revision>3</cp:revision>
  <dcterms:created xsi:type="dcterms:W3CDTF">2019-05-23T19:38:00Z</dcterms:created>
  <dcterms:modified xsi:type="dcterms:W3CDTF">2019-05-29T17:53:00Z</dcterms:modified>
</cp:coreProperties>
</file>