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28CD" w:rsidRPr="001C3CC9" w:rsidRDefault="001C3CC9" w:rsidP="005428CD">
      <w:pPr>
        <w:rPr>
          <w:rFonts w:ascii="Segoe UI" w:hAnsi="Segoe UI" w:cs="Segoe UI"/>
          <w:sz w:val="6"/>
          <w:szCs w:val="6"/>
          <w:lang w:val="en-US"/>
        </w:rPr>
      </w:pPr>
      <w:r>
        <w:rPr>
          <w:rFonts w:ascii="Segoe UI" w:hAnsi="Segoe UI" w:cs="Segoe UI"/>
          <w:sz w:val="6"/>
          <w:szCs w:val="6"/>
          <w:lang w:val="en-US"/>
        </w:rPr>
        <w:t>w</w:t>
      </w:r>
    </w:p>
    <w:tbl>
      <w:tblPr>
        <w:tblW w:w="1071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0"/>
      </w:tblGrid>
      <w:tr w:rsidR="005428CD" w:rsidRPr="00B12C2D" w:rsidTr="00B81256">
        <w:tc>
          <w:tcPr>
            <w:tcW w:w="10710" w:type="dxa"/>
          </w:tcPr>
          <w:p w:rsidR="005428CD" w:rsidRPr="00B12C2D" w:rsidRDefault="005428CD" w:rsidP="00B81256">
            <w:pPr>
              <w:ind w:right="252"/>
              <w:rPr>
                <w:rFonts w:ascii="Segoe UI" w:hAnsi="Segoe UI" w:cs="Segoe UI"/>
                <w:b/>
                <w:sz w:val="16"/>
                <w:szCs w:val="16"/>
              </w:rPr>
            </w:pPr>
            <w:bookmarkStart w:id="0" w:name="AversInter"/>
            <w:bookmarkEnd w:id="0"/>
            <w:r w:rsidRPr="00B12C2D">
              <w:rPr>
                <w:rFonts w:ascii="Segoe UI" w:eastAsia="Segoe UI" w:hAnsi="Segoe UI" w:cs="Segoe UI"/>
                <w:b/>
                <w:sz w:val="16"/>
                <w:szCs w:val="16"/>
                <w:lang w:bidi="uk-UA"/>
              </w:rPr>
              <w:t xml:space="preserve">ПРИЗНАЧЕННЯ: </w:t>
            </w:r>
            <w:r w:rsidRPr="00B12C2D">
              <w:rPr>
                <w:rFonts w:ascii="Segoe UI" w:eastAsia="Segoe UI" w:hAnsi="Segoe UI" w:cs="Segoe UI"/>
                <w:sz w:val="16"/>
                <w:szCs w:val="16"/>
                <w:lang w:bidi="uk-UA"/>
              </w:rPr>
              <w:t>Мета доповнення з подовженого навчального року (Extended School Year, ESY) до індивідуальної програми навчання (Individual Education Program, IEP) полягає у визначенні послуг, які учень потребує за межами звичайного навчального року.  Таке рішення приймається відповідно до IEP, та послуга надається безкоштовно батькам та учню (див. WAC 392-172A-02020).</w:t>
            </w:r>
          </w:p>
        </w:tc>
      </w:tr>
    </w:tbl>
    <w:p w:rsidR="005428CD" w:rsidRPr="00B12C2D" w:rsidRDefault="005428CD" w:rsidP="005428CD">
      <w:pPr>
        <w:ind w:right="-630"/>
        <w:rPr>
          <w:rFonts w:ascii="Segoe UI" w:hAnsi="Segoe UI" w:cs="Segoe UI"/>
          <w:b/>
          <w:sz w:val="22"/>
          <w:szCs w:val="18"/>
        </w:rPr>
      </w:pPr>
    </w:p>
    <w:p w:rsidR="005428CD" w:rsidRPr="00B12C2D" w:rsidRDefault="005428CD" w:rsidP="005428CD">
      <w:pPr>
        <w:ind w:right="-630"/>
        <w:jc w:val="center"/>
        <w:rPr>
          <w:rFonts w:ascii="Segoe UI" w:hAnsi="Segoe UI" w:cs="Segoe UI"/>
          <w:b/>
          <w:sz w:val="22"/>
          <w:szCs w:val="18"/>
        </w:rPr>
      </w:pPr>
      <w:r w:rsidRPr="00B12C2D">
        <w:rPr>
          <w:rFonts w:ascii="Segoe UI" w:eastAsia="Segoe UI" w:hAnsi="Segoe UI" w:cs="Segoe UI"/>
          <w:b/>
          <w:sz w:val="22"/>
          <w:szCs w:val="18"/>
          <w:lang w:bidi="uk-UA"/>
        </w:rPr>
        <w:t>ДОПОВНЕННЯ — ПОДОВЖЕНИЙ НАВЧАЛЬНИЙ РІК (ESY)</w:t>
      </w:r>
    </w:p>
    <w:p w:rsidR="005428CD" w:rsidRPr="00B12C2D" w:rsidRDefault="005428CD" w:rsidP="005428CD">
      <w:pPr>
        <w:ind w:right="-630"/>
        <w:jc w:val="center"/>
        <w:rPr>
          <w:rFonts w:ascii="Segoe UI" w:hAnsi="Segoe UI" w:cs="Segoe UI"/>
          <w:b/>
          <w:sz w:val="14"/>
          <w:szCs w:val="14"/>
        </w:rPr>
      </w:pPr>
    </w:p>
    <w:tbl>
      <w:tblPr>
        <w:tblW w:w="102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student's name and the addendum date."/>
      </w:tblPr>
      <w:tblGrid>
        <w:gridCol w:w="972"/>
        <w:gridCol w:w="4500"/>
        <w:gridCol w:w="2610"/>
        <w:gridCol w:w="2160"/>
      </w:tblGrid>
      <w:tr w:rsidR="005428CD" w:rsidRPr="00B12C2D" w:rsidTr="000209E6">
        <w:trPr>
          <w:trHeight w:val="243"/>
        </w:trPr>
        <w:tc>
          <w:tcPr>
            <w:tcW w:w="972" w:type="dxa"/>
            <w:tcBorders>
              <w:top w:val="nil"/>
              <w:left w:val="nil"/>
              <w:bottom w:val="nil"/>
              <w:right w:val="nil"/>
            </w:tcBorders>
          </w:tcPr>
          <w:p w:rsidR="005428CD" w:rsidRPr="00B12C2D" w:rsidRDefault="005428CD" w:rsidP="00B81256">
            <w:pPr>
              <w:ind w:right="-108"/>
              <w:rPr>
                <w:rFonts w:ascii="Segoe UI" w:hAnsi="Segoe UI" w:cs="Segoe UI"/>
                <w:sz w:val="18"/>
                <w:szCs w:val="18"/>
              </w:rPr>
            </w:pPr>
            <w:r w:rsidRPr="00B12C2D">
              <w:rPr>
                <w:rFonts w:ascii="Segoe UI" w:eastAsia="Segoe UI" w:hAnsi="Segoe UI" w:cs="Segoe UI"/>
                <w:sz w:val="18"/>
                <w:szCs w:val="18"/>
                <w:lang w:bidi="uk-UA"/>
              </w:rPr>
              <w:t>Ім’я учня:</w:t>
            </w:r>
          </w:p>
        </w:tc>
        <w:tc>
          <w:tcPr>
            <w:tcW w:w="4500" w:type="dxa"/>
            <w:tcBorders>
              <w:top w:val="nil"/>
              <w:left w:val="nil"/>
              <w:bottom w:val="single" w:sz="4" w:space="0" w:color="000000"/>
              <w:right w:val="nil"/>
            </w:tcBorders>
          </w:tcPr>
          <w:p w:rsidR="005428CD" w:rsidRPr="00B12C2D" w:rsidRDefault="005428CD" w:rsidP="000E6BCB">
            <w:pPr>
              <w:rPr>
                <w:rFonts w:ascii="Segoe UI" w:hAnsi="Segoe UI" w:cs="Segoe UI"/>
                <w:sz w:val="18"/>
                <w:szCs w:val="18"/>
              </w:rPr>
            </w:pPr>
          </w:p>
        </w:tc>
        <w:tc>
          <w:tcPr>
            <w:tcW w:w="2610" w:type="dxa"/>
            <w:tcBorders>
              <w:top w:val="nil"/>
              <w:left w:val="nil"/>
              <w:bottom w:val="nil"/>
              <w:right w:val="nil"/>
            </w:tcBorders>
          </w:tcPr>
          <w:p w:rsidR="005428CD" w:rsidRPr="00B12C2D" w:rsidRDefault="005428CD" w:rsidP="00B81256">
            <w:pPr>
              <w:jc w:val="right"/>
              <w:rPr>
                <w:rFonts w:ascii="Segoe UI" w:hAnsi="Segoe UI" w:cs="Segoe UI"/>
                <w:sz w:val="18"/>
                <w:szCs w:val="18"/>
              </w:rPr>
            </w:pPr>
            <w:r w:rsidRPr="00B12C2D">
              <w:rPr>
                <w:rFonts w:ascii="Segoe UI" w:eastAsia="Segoe UI" w:hAnsi="Segoe UI" w:cs="Segoe UI"/>
                <w:sz w:val="18"/>
                <w:szCs w:val="18"/>
                <w:lang w:bidi="uk-UA"/>
              </w:rPr>
              <w:t>Дата складання доповнення:</w:t>
            </w:r>
          </w:p>
        </w:tc>
        <w:tc>
          <w:tcPr>
            <w:tcW w:w="2160" w:type="dxa"/>
            <w:tcBorders>
              <w:top w:val="nil"/>
              <w:left w:val="nil"/>
              <w:right w:val="nil"/>
            </w:tcBorders>
          </w:tcPr>
          <w:p w:rsidR="005428CD" w:rsidRPr="00B12C2D" w:rsidRDefault="005428CD" w:rsidP="000E6BCB">
            <w:pPr>
              <w:rPr>
                <w:rFonts w:ascii="Segoe UI" w:hAnsi="Segoe UI" w:cs="Segoe UI"/>
                <w:sz w:val="18"/>
                <w:szCs w:val="18"/>
              </w:rPr>
            </w:pPr>
          </w:p>
        </w:tc>
      </w:tr>
    </w:tbl>
    <w:p w:rsidR="005428CD" w:rsidRPr="00B12C2D" w:rsidRDefault="005428CD" w:rsidP="005428CD">
      <w:pPr>
        <w:ind w:right="-630"/>
        <w:rPr>
          <w:rFonts w:ascii="Segoe UI" w:hAnsi="Segoe UI" w:cs="Segoe UI"/>
          <w:b/>
          <w:sz w:val="14"/>
          <w:szCs w:val="14"/>
        </w:rPr>
      </w:pPr>
    </w:p>
    <w:tbl>
      <w:tblPr>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information about the student's ESY services."/>
      </w:tblPr>
      <w:tblGrid>
        <w:gridCol w:w="8190"/>
        <w:gridCol w:w="2520"/>
      </w:tblGrid>
      <w:tr w:rsidR="005428CD" w:rsidRPr="00B12C2D" w:rsidTr="00B81256">
        <w:trPr>
          <w:cantSplit/>
          <w:trHeight w:val="944"/>
        </w:trPr>
        <w:tc>
          <w:tcPr>
            <w:tcW w:w="8190" w:type="dxa"/>
            <w:tcBorders>
              <w:bottom w:val="single" w:sz="4" w:space="0" w:color="auto"/>
            </w:tcBorders>
            <w:vAlign w:val="center"/>
          </w:tcPr>
          <w:p w:rsidR="005428CD" w:rsidRPr="00B12C2D" w:rsidRDefault="001C3CC9" w:rsidP="00B81256">
            <w:pPr>
              <w:ind w:right="72"/>
              <w:rPr>
                <w:rFonts w:ascii="Segoe UI" w:hAnsi="Segoe UI" w:cs="Segoe UI"/>
                <w:sz w:val="20"/>
              </w:rPr>
            </w:pPr>
            <w:sdt>
              <w:sdtPr>
                <w:rPr>
                  <w:rFonts w:ascii="Segoe UI" w:hAnsi="Segoe UI" w:cs="Segoe UI"/>
                  <w:sz w:val="20"/>
                </w:rPr>
                <w:id w:val="-180206077"/>
                <w14:checkbox>
                  <w14:checked w14:val="0"/>
                  <w14:checkedState w14:val="2612" w14:font="MS Gothic"/>
                  <w14:uncheckedState w14:val="2610" w14:font="MS Gothic"/>
                </w14:checkbox>
              </w:sdtPr>
              <w:sdtEndPr/>
              <w:sdtContent>
                <w:r w:rsidR="00CA0E74" w:rsidRPr="00B12C2D">
                  <w:rPr>
                    <w:rFonts w:ascii="MS Gothic" w:eastAsia="MS Gothic" w:hAnsi="MS Gothic" w:cs="Segoe UI"/>
                    <w:sz w:val="20"/>
                    <w:lang w:bidi="uk-UA"/>
                  </w:rPr>
                  <w:t>☐</w:t>
                </w:r>
              </w:sdtContent>
            </w:sdt>
            <w:r w:rsidR="005428CD" w:rsidRPr="00B12C2D">
              <w:rPr>
                <w:rFonts w:ascii="Segoe UI" w:eastAsia="Segoe UI" w:hAnsi="Segoe UI" w:cs="Segoe UI"/>
                <w:sz w:val="20"/>
                <w:lang w:bidi="uk-UA"/>
              </w:rPr>
              <w:t xml:space="preserve">  Група з IEP визначила, що даний учень відповідає вимогам до здобуття послуг подовженого навчального року (ESY), оскільки ці послуги необхідні для надання необхідної безкоштовної державної освіти (FAPE) цьому учню.  </w:t>
            </w:r>
          </w:p>
        </w:tc>
        <w:tc>
          <w:tcPr>
            <w:tcW w:w="2520" w:type="dxa"/>
            <w:vMerge w:val="restart"/>
          </w:tcPr>
          <w:p w:rsidR="005428CD" w:rsidRPr="00B12C2D" w:rsidRDefault="005428CD" w:rsidP="00B81256">
            <w:pPr>
              <w:jc w:val="center"/>
              <w:rPr>
                <w:rFonts w:ascii="Segoe UI" w:hAnsi="Segoe UI" w:cs="Segoe UI"/>
                <w:b/>
                <w:sz w:val="14"/>
                <w:szCs w:val="14"/>
              </w:rPr>
            </w:pPr>
            <w:r w:rsidRPr="00B12C2D">
              <w:rPr>
                <w:rFonts w:ascii="Segoe UI" w:eastAsia="Segoe UI" w:hAnsi="Segoe UI" w:cs="Segoe UI"/>
                <w:b/>
                <w:sz w:val="14"/>
                <w:szCs w:val="14"/>
                <w:lang w:bidi="uk-UA"/>
              </w:rPr>
              <w:t>МАЙТЕ НА УВАЗІ:</w:t>
            </w:r>
          </w:p>
          <w:p w:rsidR="005428CD" w:rsidRPr="00B12C2D" w:rsidRDefault="005428CD" w:rsidP="005428CD">
            <w:pPr>
              <w:numPr>
                <w:ilvl w:val="0"/>
                <w:numId w:val="1"/>
              </w:numPr>
              <w:tabs>
                <w:tab w:val="clear" w:pos="360"/>
                <w:tab w:val="num" w:pos="252"/>
              </w:tabs>
              <w:ind w:left="252" w:hanging="252"/>
              <w:rPr>
                <w:rFonts w:ascii="Segoe UI" w:hAnsi="Segoe UI" w:cs="Segoe UI"/>
                <w:sz w:val="14"/>
                <w:szCs w:val="14"/>
              </w:rPr>
            </w:pPr>
            <w:r w:rsidRPr="00B12C2D">
              <w:rPr>
                <w:rFonts w:ascii="Segoe UI" w:eastAsia="Segoe UI" w:hAnsi="Segoe UI" w:cs="Segoe UI"/>
                <w:sz w:val="14"/>
                <w:szCs w:val="14"/>
                <w:lang w:bidi="uk-UA"/>
              </w:rPr>
              <w:t>Мета послуг ESY полягає в підтримці учбових навичок або поведінки учня, а не у навчанні його новим навичкам або поведінці.</w:t>
            </w:r>
          </w:p>
          <w:p w:rsidR="005428CD" w:rsidRPr="00B12C2D" w:rsidRDefault="005428CD" w:rsidP="005428CD">
            <w:pPr>
              <w:numPr>
                <w:ilvl w:val="0"/>
                <w:numId w:val="1"/>
              </w:numPr>
              <w:tabs>
                <w:tab w:val="clear" w:pos="360"/>
                <w:tab w:val="num" w:pos="252"/>
              </w:tabs>
              <w:ind w:left="252" w:hanging="252"/>
              <w:rPr>
                <w:rFonts w:ascii="Segoe UI" w:hAnsi="Segoe UI" w:cs="Segoe UI"/>
                <w:sz w:val="14"/>
                <w:szCs w:val="14"/>
              </w:rPr>
            </w:pPr>
            <w:r w:rsidRPr="00B12C2D">
              <w:rPr>
                <w:rFonts w:ascii="Segoe UI" w:eastAsia="Segoe UI" w:hAnsi="Segoe UI" w:cs="Segoe UI"/>
                <w:sz w:val="14"/>
                <w:szCs w:val="14"/>
                <w:lang w:bidi="uk-UA"/>
              </w:rPr>
              <w:t>Рішення групи з IEP стосовно ESY повинне ґрунтуватися на часі регресії та відновлення або на урахуванні професійної думки членів групи, характеру та важкості інвалідності учня, швидкості розвитку та формування навичок, та підкріплюватися фактами, що свідчать про необхідність задоволення потреб дитини.</w:t>
            </w:r>
          </w:p>
        </w:tc>
      </w:tr>
      <w:tr w:rsidR="005428CD" w:rsidRPr="00B12C2D" w:rsidTr="00B81256">
        <w:trPr>
          <w:cantSplit/>
          <w:trHeight w:val="341"/>
        </w:trPr>
        <w:tc>
          <w:tcPr>
            <w:tcW w:w="8190" w:type="dxa"/>
            <w:tcBorders>
              <w:top w:val="single" w:sz="4" w:space="0" w:color="auto"/>
              <w:bottom w:val="nil"/>
            </w:tcBorders>
            <w:vAlign w:val="bottom"/>
          </w:tcPr>
          <w:p w:rsidR="005428CD" w:rsidRPr="00B12C2D" w:rsidRDefault="005428CD" w:rsidP="00B81256">
            <w:pPr>
              <w:rPr>
                <w:rFonts w:ascii="Segoe UI" w:hAnsi="Segoe UI" w:cs="Segoe UI"/>
                <w:sz w:val="20"/>
              </w:rPr>
            </w:pPr>
            <w:r w:rsidRPr="00B12C2D">
              <w:rPr>
                <w:rFonts w:ascii="Segoe UI" w:eastAsia="Segoe UI" w:hAnsi="Segoe UI" w:cs="Segoe UI"/>
                <w:sz w:val="20"/>
                <w:lang w:bidi="uk-UA"/>
              </w:rPr>
              <w:t>Опис навичок та/або поведінки, для підтримки яких необхідно надати послуги ESY:</w:t>
            </w:r>
          </w:p>
        </w:tc>
        <w:tc>
          <w:tcPr>
            <w:tcW w:w="2520" w:type="dxa"/>
            <w:vMerge/>
          </w:tcPr>
          <w:p w:rsidR="005428CD" w:rsidRPr="00B12C2D" w:rsidRDefault="005428CD" w:rsidP="00B81256">
            <w:pPr>
              <w:ind w:right="-630"/>
              <w:rPr>
                <w:rFonts w:ascii="Segoe UI" w:hAnsi="Segoe UI" w:cs="Segoe UI"/>
                <w:sz w:val="22"/>
                <w:szCs w:val="18"/>
              </w:rPr>
            </w:pPr>
          </w:p>
        </w:tc>
      </w:tr>
      <w:tr w:rsidR="005428CD" w:rsidRPr="00B12C2D" w:rsidTr="00F263DF">
        <w:trPr>
          <w:cantSplit/>
          <w:trHeight w:val="3248"/>
        </w:trPr>
        <w:tc>
          <w:tcPr>
            <w:tcW w:w="8190" w:type="dxa"/>
            <w:tcBorders>
              <w:top w:val="nil"/>
              <w:bottom w:val="single" w:sz="4" w:space="0" w:color="auto"/>
            </w:tcBorders>
          </w:tcPr>
          <w:p w:rsidR="005428CD" w:rsidRPr="00B12C2D" w:rsidRDefault="005428CD" w:rsidP="00F263DF">
            <w:pPr>
              <w:ind w:right="-630"/>
              <w:rPr>
                <w:rFonts w:ascii="Segoe UI" w:hAnsi="Segoe UI" w:cs="Segoe UI"/>
                <w:sz w:val="18"/>
                <w:szCs w:val="18"/>
              </w:rPr>
            </w:pPr>
            <w:bookmarkStart w:id="1" w:name="_GoBack"/>
          </w:p>
        </w:tc>
        <w:tc>
          <w:tcPr>
            <w:tcW w:w="2520" w:type="dxa"/>
            <w:vMerge/>
            <w:tcBorders>
              <w:bottom w:val="single" w:sz="4" w:space="0" w:color="auto"/>
            </w:tcBorders>
          </w:tcPr>
          <w:p w:rsidR="005428CD" w:rsidRPr="00B12C2D" w:rsidRDefault="005428CD" w:rsidP="00B81256">
            <w:pPr>
              <w:ind w:right="-630"/>
              <w:rPr>
                <w:rFonts w:ascii="Segoe UI" w:hAnsi="Segoe UI" w:cs="Segoe UI"/>
                <w:sz w:val="22"/>
                <w:szCs w:val="18"/>
              </w:rPr>
            </w:pPr>
          </w:p>
        </w:tc>
      </w:tr>
      <w:bookmarkEnd w:id="1"/>
    </w:tbl>
    <w:p w:rsidR="005428CD" w:rsidRPr="00B12C2D" w:rsidRDefault="005428CD" w:rsidP="005428CD">
      <w:pPr>
        <w:rPr>
          <w:rFonts w:ascii="Segoe UI" w:hAnsi="Segoe UI" w:cs="Segoe UI"/>
          <w:sz w:val="22"/>
          <w:szCs w:val="18"/>
        </w:rPr>
      </w:pPr>
    </w:p>
    <w:tbl>
      <w:tblPr>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ESY summary of services."/>
      </w:tblPr>
      <w:tblGrid>
        <w:gridCol w:w="1530"/>
        <w:gridCol w:w="1170"/>
        <w:gridCol w:w="1260"/>
        <w:gridCol w:w="1710"/>
        <w:gridCol w:w="1350"/>
        <w:gridCol w:w="1867"/>
        <w:gridCol w:w="1823"/>
      </w:tblGrid>
      <w:tr w:rsidR="005428CD" w:rsidRPr="00B12C2D" w:rsidTr="006D5C7C">
        <w:tc>
          <w:tcPr>
            <w:tcW w:w="1530" w:type="dxa"/>
            <w:vAlign w:val="center"/>
          </w:tcPr>
          <w:p w:rsidR="005428CD" w:rsidRPr="00B12C2D" w:rsidRDefault="005428CD" w:rsidP="00B81256">
            <w:pPr>
              <w:jc w:val="center"/>
              <w:rPr>
                <w:rFonts w:ascii="Segoe UI" w:hAnsi="Segoe UI" w:cs="Segoe UI"/>
                <w:b/>
                <w:sz w:val="18"/>
                <w:szCs w:val="18"/>
              </w:rPr>
            </w:pPr>
            <w:r w:rsidRPr="00B12C2D">
              <w:rPr>
                <w:rFonts w:ascii="Segoe UI" w:eastAsia="Segoe UI" w:hAnsi="Segoe UI" w:cs="Segoe UI"/>
                <w:b/>
                <w:sz w:val="18"/>
                <w:szCs w:val="18"/>
                <w:lang w:bidi="uk-UA"/>
              </w:rPr>
              <w:t>Послуга</w:t>
            </w:r>
          </w:p>
        </w:tc>
        <w:tc>
          <w:tcPr>
            <w:tcW w:w="1170" w:type="dxa"/>
            <w:vAlign w:val="center"/>
          </w:tcPr>
          <w:p w:rsidR="005428CD" w:rsidRPr="00B12C2D" w:rsidRDefault="005428CD" w:rsidP="00B81256">
            <w:pPr>
              <w:ind w:left="-102" w:right="-102"/>
              <w:jc w:val="center"/>
              <w:rPr>
                <w:rFonts w:ascii="Segoe UI" w:hAnsi="Segoe UI" w:cs="Segoe UI"/>
                <w:b/>
                <w:sz w:val="18"/>
                <w:szCs w:val="18"/>
              </w:rPr>
            </w:pPr>
            <w:r w:rsidRPr="00B12C2D">
              <w:rPr>
                <w:rFonts w:ascii="Segoe UI" w:eastAsia="Segoe UI" w:hAnsi="Segoe UI" w:cs="Segoe UI"/>
                <w:b/>
                <w:sz w:val="18"/>
                <w:szCs w:val="18"/>
                <w:lang w:bidi="uk-UA"/>
              </w:rPr>
              <w:t xml:space="preserve">Початкова дата </w:t>
            </w:r>
          </w:p>
        </w:tc>
        <w:tc>
          <w:tcPr>
            <w:tcW w:w="1260" w:type="dxa"/>
            <w:vAlign w:val="center"/>
          </w:tcPr>
          <w:p w:rsidR="005428CD" w:rsidRPr="00B12C2D" w:rsidRDefault="005428CD" w:rsidP="00B81256">
            <w:pPr>
              <w:pStyle w:val="BodyText"/>
              <w:ind w:left="-102" w:right="-112"/>
              <w:jc w:val="center"/>
              <w:rPr>
                <w:rFonts w:ascii="Segoe UI" w:hAnsi="Segoe UI" w:cs="Segoe UI"/>
                <w:sz w:val="18"/>
                <w:szCs w:val="18"/>
              </w:rPr>
            </w:pPr>
            <w:r w:rsidRPr="00B12C2D">
              <w:rPr>
                <w:rFonts w:ascii="Segoe UI" w:eastAsia="Segoe UI" w:hAnsi="Segoe UI" w:cs="Segoe UI"/>
                <w:sz w:val="18"/>
                <w:szCs w:val="18"/>
                <w:lang w:bidi="uk-UA"/>
              </w:rPr>
              <w:t xml:space="preserve">Частота </w:t>
            </w:r>
          </w:p>
          <w:p w:rsidR="005428CD" w:rsidRPr="00B12C2D" w:rsidRDefault="005428CD" w:rsidP="00B81256">
            <w:pPr>
              <w:pStyle w:val="BodyText"/>
              <w:ind w:left="-102" w:right="-112"/>
              <w:jc w:val="center"/>
              <w:rPr>
                <w:rFonts w:ascii="Segoe UI" w:hAnsi="Segoe UI" w:cs="Segoe UI"/>
                <w:b w:val="0"/>
                <w:i/>
                <w:sz w:val="14"/>
                <w:szCs w:val="14"/>
              </w:rPr>
            </w:pPr>
            <w:r w:rsidRPr="00B12C2D">
              <w:rPr>
                <w:rFonts w:ascii="Segoe UI" w:eastAsia="Segoe UI" w:hAnsi="Segoe UI" w:cs="Segoe UI"/>
                <w:b w:val="0"/>
                <w:i/>
                <w:sz w:val="14"/>
                <w:szCs w:val="14"/>
                <w:lang w:bidi="uk-UA"/>
              </w:rPr>
              <w:t xml:space="preserve">(наприклад, мінути </w:t>
            </w:r>
          </w:p>
          <w:p w:rsidR="005428CD" w:rsidRPr="00B12C2D" w:rsidRDefault="005428CD" w:rsidP="00B81256">
            <w:pPr>
              <w:pStyle w:val="BodyText"/>
              <w:ind w:left="-102" w:right="-112"/>
              <w:jc w:val="center"/>
              <w:rPr>
                <w:rFonts w:ascii="Segoe UI" w:hAnsi="Segoe UI" w:cs="Segoe UI"/>
                <w:b w:val="0"/>
                <w:i/>
                <w:sz w:val="18"/>
                <w:szCs w:val="18"/>
              </w:rPr>
            </w:pPr>
            <w:r w:rsidRPr="00B12C2D">
              <w:rPr>
                <w:rFonts w:ascii="Segoe UI" w:eastAsia="Segoe UI" w:hAnsi="Segoe UI" w:cs="Segoe UI"/>
                <w:b w:val="0"/>
                <w:i/>
                <w:sz w:val="14"/>
                <w:szCs w:val="14"/>
                <w:lang w:bidi="uk-UA"/>
              </w:rPr>
              <w:t>на тиждень)</w:t>
            </w:r>
          </w:p>
        </w:tc>
        <w:tc>
          <w:tcPr>
            <w:tcW w:w="1710" w:type="dxa"/>
            <w:vAlign w:val="center"/>
          </w:tcPr>
          <w:p w:rsidR="005428CD" w:rsidRPr="00B12C2D" w:rsidRDefault="005428CD" w:rsidP="00B81256">
            <w:pPr>
              <w:pStyle w:val="Heading3"/>
              <w:jc w:val="center"/>
              <w:rPr>
                <w:rFonts w:ascii="Segoe UI" w:hAnsi="Segoe UI" w:cs="Segoe UI"/>
                <w:sz w:val="18"/>
                <w:szCs w:val="18"/>
              </w:rPr>
            </w:pPr>
            <w:r w:rsidRPr="00B12C2D">
              <w:rPr>
                <w:rFonts w:ascii="Segoe UI" w:eastAsia="Segoe UI" w:hAnsi="Segoe UI" w:cs="Segoe UI"/>
                <w:sz w:val="18"/>
                <w:szCs w:val="18"/>
                <w:lang w:bidi="uk-UA"/>
              </w:rPr>
              <w:t xml:space="preserve">Місце надання послуги </w:t>
            </w:r>
          </w:p>
          <w:p w:rsidR="005428CD" w:rsidRPr="00B12C2D" w:rsidRDefault="005428CD" w:rsidP="00B81256">
            <w:pPr>
              <w:pStyle w:val="Heading3"/>
              <w:jc w:val="center"/>
              <w:rPr>
                <w:rFonts w:ascii="Segoe UI" w:hAnsi="Segoe UI" w:cs="Segoe UI"/>
                <w:i/>
                <w:sz w:val="18"/>
                <w:szCs w:val="18"/>
              </w:rPr>
            </w:pPr>
            <w:r w:rsidRPr="00B12C2D">
              <w:rPr>
                <w:rFonts w:ascii="Segoe UI" w:eastAsia="Segoe UI" w:hAnsi="Segoe UI" w:cs="Segoe UI"/>
                <w:b w:val="0"/>
                <w:i/>
                <w:sz w:val="18"/>
                <w:szCs w:val="18"/>
                <w:lang w:bidi="uk-UA"/>
              </w:rPr>
              <w:t>(середовище)</w:t>
            </w:r>
          </w:p>
        </w:tc>
        <w:tc>
          <w:tcPr>
            <w:tcW w:w="1350" w:type="dxa"/>
            <w:vAlign w:val="center"/>
          </w:tcPr>
          <w:p w:rsidR="005428CD" w:rsidRPr="00B12C2D" w:rsidRDefault="005428CD" w:rsidP="00B81256">
            <w:pPr>
              <w:pStyle w:val="Heading3"/>
              <w:ind w:left="-104" w:right="-112"/>
              <w:jc w:val="center"/>
              <w:rPr>
                <w:rFonts w:ascii="Segoe UI" w:hAnsi="Segoe UI" w:cs="Segoe UI"/>
                <w:sz w:val="18"/>
                <w:szCs w:val="18"/>
              </w:rPr>
            </w:pPr>
            <w:r w:rsidRPr="00B12C2D">
              <w:rPr>
                <w:rFonts w:ascii="Segoe UI" w:eastAsia="Segoe UI" w:hAnsi="Segoe UI" w:cs="Segoe UI"/>
                <w:sz w:val="18"/>
                <w:szCs w:val="18"/>
                <w:lang w:bidi="uk-UA"/>
              </w:rPr>
              <w:t>Тривалість надання послуги</w:t>
            </w:r>
          </w:p>
        </w:tc>
        <w:tc>
          <w:tcPr>
            <w:tcW w:w="1867" w:type="dxa"/>
            <w:vAlign w:val="center"/>
          </w:tcPr>
          <w:p w:rsidR="005428CD" w:rsidRPr="00B12C2D" w:rsidRDefault="005428CD" w:rsidP="00B81256">
            <w:pPr>
              <w:jc w:val="center"/>
              <w:rPr>
                <w:rFonts w:ascii="Segoe UI" w:hAnsi="Segoe UI" w:cs="Segoe UI"/>
                <w:b/>
                <w:sz w:val="18"/>
                <w:szCs w:val="18"/>
              </w:rPr>
            </w:pPr>
            <w:r w:rsidRPr="00B12C2D">
              <w:rPr>
                <w:rFonts w:ascii="Segoe UI" w:eastAsia="Segoe UI" w:hAnsi="Segoe UI" w:cs="Segoe UI"/>
                <w:b/>
                <w:sz w:val="18"/>
                <w:szCs w:val="18"/>
                <w:lang w:bidi="uk-UA"/>
              </w:rPr>
              <w:t>Персонал, якій відповідає за надання послуги</w:t>
            </w:r>
          </w:p>
        </w:tc>
        <w:tc>
          <w:tcPr>
            <w:tcW w:w="1823" w:type="dxa"/>
            <w:vMerge w:val="restart"/>
          </w:tcPr>
          <w:p w:rsidR="005428CD" w:rsidRPr="00B12C2D" w:rsidRDefault="005428CD" w:rsidP="00B81256">
            <w:pPr>
              <w:pStyle w:val="Heading2"/>
              <w:rPr>
                <w:rFonts w:ascii="Segoe UI" w:hAnsi="Segoe UI" w:cs="Segoe UI"/>
                <w:sz w:val="14"/>
                <w:szCs w:val="14"/>
              </w:rPr>
            </w:pPr>
            <w:r w:rsidRPr="00B12C2D">
              <w:rPr>
                <w:rFonts w:ascii="Segoe UI" w:eastAsia="Segoe UI" w:hAnsi="Segoe UI" w:cs="Segoe UI"/>
                <w:sz w:val="14"/>
                <w:szCs w:val="14"/>
                <w:lang w:bidi="uk-UA"/>
              </w:rPr>
              <w:t>МАЙТЕ НА УВАЗІ:</w:t>
            </w:r>
          </w:p>
          <w:p w:rsidR="005428CD" w:rsidRPr="00B12C2D" w:rsidRDefault="005428CD" w:rsidP="005428CD">
            <w:pPr>
              <w:numPr>
                <w:ilvl w:val="0"/>
                <w:numId w:val="2"/>
              </w:numPr>
              <w:tabs>
                <w:tab w:val="num" w:pos="162"/>
              </w:tabs>
              <w:ind w:left="162" w:hanging="162"/>
              <w:rPr>
                <w:rFonts w:ascii="Segoe UI" w:hAnsi="Segoe UI" w:cs="Segoe UI"/>
                <w:sz w:val="14"/>
                <w:szCs w:val="14"/>
              </w:rPr>
            </w:pPr>
            <w:r w:rsidRPr="00B12C2D">
              <w:rPr>
                <w:rFonts w:ascii="Segoe UI" w:eastAsia="Segoe UI" w:hAnsi="Segoe UI" w:cs="Segoe UI"/>
                <w:sz w:val="14"/>
                <w:szCs w:val="14"/>
                <w:lang w:bidi="uk-UA"/>
              </w:rPr>
              <w:t>Для отримання інформації про визначення термінів «спеціальне навчання», «супутні послуги», «допоміжні засоби та послуги для учня» див. розділи WAC з 392-172A-01020 до -01200.</w:t>
            </w:r>
          </w:p>
          <w:p w:rsidR="005428CD" w:rsidRPr="00B12C2D" w:rsidRDefault="005428CD" w:rsidP="00B81256">
            <w:pPr>
              <w:jc w:val="center"/>
              <w:rPr>
                <w:rFonts w:ascii="Segoe UI" w:hAnsi="Segoe UI" w:cs="Segoe UI"/>
                <w:sz w:val="14"/>
                <w:szCs w:val="14"/>
              </w:rPr>
            </w:pPr>
          </w:p>
        </w:tc>
      </w:tr>
      <w:tr w:rsidR="005428CD" w:rsidRPr="00B12C2D" w:rsidTr="006D5C7C">
        <w:trPr>
          <w:cantSplit/>
          <w:trHeight w:val="258"/>
        </w:trPr>
        <w:tc>
          <w:tcPr>
            <w:tcW w:w="8887" w:type="dxa"/>
            <w:gridSpan w:val="6"/>
          </w:tcPr>
          <w:p w:rsidR="005428CD" w:rsidRPr="00B12C2D" w:rsidRDefault="005428CD" w:rsidP="00B81256">
            <w:pPr>
              <w:rPr>
                <w:rFonts w:ascii="Segoe UI" w:hAnsi="Segoe UI" w:cs="Segoe UI"/>
                <w:b/>
                <w:sz w:val="18"/>
                <w:szCs w:val="18"/>
              </w:rPr>
            </w:pPr>
            <w:r w:rsidRPr="00B12C2D">
              <w:rPr>
                <w:rFonts w:ascii="Segoe UI" w:eastAsia="Segoe UI" w:hAnsi="Segoe UI" w:cs="Segoe UI"/>
                <w:b/>
                <w:sz w:val="18"/>
                <w:szCs w:val="18"/>
                <w:lang w:bidi="uk-UA"/>
              </w:rPr>
              <w:t>Спеціальне навчання та пов'язані з ним послуги</w:t>
            </w:r>
            <w:r w:rsidRPr="00B12C2D">
              <w:rPr>
                <w:rFonts w:ascii="Segoe UI" w:eastAsia="Segoe UI" w:hAnsi="Segoe UI" w:cs="Segoe UI"/>
                <w:sz w:val="18"/>
                <w:szCs w:val="18"/>
                <w:lang w:bidi="uk-UA"/>
              </w:rPr>
              <w:t>, що надаються протягом ESY</w:t>
            </w:r>
            <w:r w:rsidRPr="00B12C2D">
              <w:rPr>
                <w:rFonts w:ascii="Segoe UI" w:eastAsia="Segoe UI" w:hAnsi="Segoe UI" w:cs="Segoe UI"/>
                <w:b/>
                <w:sz w:val="18"/>
                <w:szCs w:val="18"/>
                <w:lang w:bidi="uk-UA"/>
              </w:rPr>
              <w:t>:</w:t>
            </w:r>
          </w:p>
        </w:tc>
        <w:tc>
          <w:tcPr>
            <w:tcW w:w="1823" w:type="dxa"/>
            <w:vMerge/>
          </w:tcPr>
          <w:p w:rsidR="005428CD" w:rsidRPr="00B12C2D" w:rsidRDefault="005428CD" w:rsidP="00B81256">
            <w:pPr>
              <w:rPr>
                <w:rFonts w:ascii="Segoe UI" w:hAnsi="Segoe UI" w:cs="Segoe UI"/>
                <w:b/>
                <w:sz w:val="22"/>
                <w:szCs w:val="18"/>
              </w:rPr>
            </w:pPr>
          </w:p>
        </w:tc>
      </w:tr>
      <w:tr w:rsidR="005428CD" w:rsidRPr="00B12C2D" w:rsidTr="006D5C7C">
        <w:trPr>
          <w:trHeight w:val="476"/>
        </w:trPr>
        <w:tc>
          <w:tcPr>
            <w:tcW w:w="1530" w:type="dxa"/>
            <w:vAlign w:val="center"/>
          </w:tcPr>
          <w:p w:rsidR="005428CD" w:rsidRPr="00B12C2D" w:rsidRDefault="005428CD" w:rsidP="00B81256">
            <w:pPr>
              <w:jc w:val="center"/>
              <w:rPr>
                <w:rFonts w:ascii="Segoe UI" w:hAnsi="Segoe UI" w:cs="Segoe UI"/>
                <w:sz w:val="18"/>
                <w:szCs w:val="18"/>
              </w:rPr>
            </w:pPr>
          </w:p>
        </w:tc>
        <w:tc>
          <w:tcPr>
            <w:tcW w:w="1170" w:type="dxa"/>
            <w:vAlign w:val="center"/>
          </w:tcPr>
          <w:p w:rsidR="005428CD" w:rsidRPr="00B12C2D" w:rsidRDefault="005428CD" w:rsidP="00B81256">
            <w:pPr>
              <w:jc w:val="center"/>
              <w:rPr>
                <w:rFonts w:ascii="Segoe UI" w:hAnsi="Segoe UI" w:cs="Segoe UI"/>
                <w:sz w:val="18"/>
                <w:szCs w:val="18"/>
              </w:rPr>
            </w:pPr>
          </w:p>
        </w:tc>
        <w:tc>
          <w:tcPr>
            <w:tcW w:w="1260" w:type="dxa"/>
            <w:vAlign w:val="center"/>
          </w:tcPr>
          <w:p w:rsidR="005428CD" w:rsidRPr="00B12C2D" w:rsidRDefault="005428CD" w:rsidP="00B81256">
            <w:pPr>
              <w:jc w:val="center"/>
              <w:rPr>
                <w:rFonts w:ascii="Segoe UI" w:hAnsi="Segoe UI" w:cs="Segoe UI"/>
                <w:sz w:val="18"/>
                <w:szCs w:val="18"/>
              </w:rPr>
            </w:pPr>
          </w:p>
        </w:tc>
        <w:tc>
          <w:tcPr>
            <w:tcW w:w="1710" w:type="dxa"/>
            <w:vAlign w:val="center"/>
          </w:tcPr>
          <w:p w:rsidR="005428CD" w:rsidRPr="00B12C2D" w:rsidRDefault="005428CD" w:rsidP="00B81256">
            <w:pPr>
              <w:jc w:val="center"/>
              <w:rPr>
                <w:rFonts w:ascii="Segoe UI" w:hAnsi="Segoe UI" w:cs="Segoe UI"/>
                <w:sz w:val="18"/>
                <w:szCs w:val="18"/>
              </w:rPr>
            </w:pPr>
          </w:p>
        </w:tc>
        <w:tc>
          <w:tcPr>
            <w:tcW w:w="1350" w:type="dxa"/>
            <w:vAlign w:val="center"/>
          </w:tcPr>
          <w:p w:rsidR="005428CD" w:rsidRPr="00B12C2D" w:rsidRDefault="005428CD" w:rsidP="00B81256">
            <w:pPr>
              <w:jc w:val="center"/>
              <w:rPr>
                <w:rFonts w:ascii="Segoe UI" w:hAnsi="Segoe UI" w:cs="Segoe UI"/>
                <w:sz w:val="18"/>
                <w:szCs w:val="18"/>
              </w:rPr>
            </w:pPr>
          </w:p>
        </w:tc>
        <w:tc>
          <w:tcPr>
            <w:tcW w:w="1867" w:type="dxa"/>
            <w:vAlign w:val="center"/>
          </w:tcPr>
          <w:p w:rsidR="005428CD" w:rsidRPr="00B12C2D" w:rsidRDefault="005428CD" w:rsidP="00B81256">
            <w:pPr>
              <w:jc w:val="center"/>
              <w:rPr>
                <w:rFonts w:ascii="Segoe UI" w:hAnsi="Segoe UI" w:cs="Segoe UI"/>
                <w:sz w:val="18"/>
                <w:szCs w:val="18"/>
              </w:rPr>
            </w:pPr>
          </w:p>
        </w:tc>
        <w:tc>
          <w:tcPr>
            <w:tcW w:w="1823" w:type="dxa"/>
            <w:vMerge/>
          </w:tcPr>
          <w:p w:rsidR="005428CD" w:rsidRPr="00B12C2D" w:rsidRDefault="005428CD" w:rsidP="00B81256">
            <w:pPr>
              <w:jc w:val="center"/>
              <w:rPr>
                <w:rFonts w:ascii="Segoe UI" w:hAnsi="Segoe UI" w:cs="Segoe UI"/>
                <w:sz w:val="20"/>
              </w:rPr>
            </w:pPr>
          </w:p>
        </w:tc>
      </w:tr>
      <w:tr w:rsidR="005428CD" w:rsidRPr="00B12C2D" w:rsidTr="006D5C7C">
        <w:trPr>
          <w:trHeight w:val="431"/>
        </w:trPr>
        <w:tc>
          <w:tcPr>
            <w:tcW w:w="1530" w:type="dxa"/>
            <w:vAlign w:val="center"/>
          </w:tcPr>
          <w:p w:rsidR="005428CD" w:rsidRPr="00B12C2D" w:rsidRDefault="005428CD" w:rsidP="00B81256">
            <w:pPr>
              <w:jc w:val="center"/>
              <w:rPr>
                <w:rFonts w:ascii="Segoe UI" w:hAnsi="Segoe UI" w:cs="Segoe UI"/>
                <w:sz w:val="18"/>
                <w:szCs w:val="18"/>
              </w:rPr>
            </w:pPr>
          </w:p>
        </w:tc>
        <w:tc>
          <w:tcPr>
            <w:tcW w:w="1170" w:type="dxa"/>
            <w:vAlign w:val="center"/>
          </w:tcPr>
          <w:p w:rsidR="005428CD" w:rsidRPr="00B12C2D" w:rsidRDefault="005428CD" w:rsidP="00B81256">
            <w:pPr>
              <w:jc w:val="center"/>
              <w:rPr>
                <w:rFonts w:ascii="Segoe UI" w:hAnsi="Segoe UI" w:cs="Segoe UI"/>
                <w:sz w:val="18"/>
                <w:szCs w:val="18"/>
              </w:rPr>
            </w:pPr>
          </w:p>
        </w:tc>
        <w:tc>
          <w:tcPr>
            <w:tcW w:w="1260" w:type="dxa"/>
            <w:vAlign w:val="center"/>
          </w:tcPr>
          <w:p w:rsidR="005428CD" w:rsidRPr="00B12C2D" w:rsidRDefault="005428CD" w:rsidP="00B81256">
            <w:pPr>
              <w:jc w:val="center"/>
              <w:rPr>
                <w:rFonts w:ascii="Segoe UI" w:hAnsi="Segoe UI" w:cs="Segoe UI"/>
                <w:sz w:val="18"/>
                <w:szCs w:val="18"/>
              </w:rPr>
            </w:pPr>
          </w:p>
        </w:tc>
        <w:tc>
          <w:tcPr>
            <w:tcW w:w="1710" w:type="dxa"/>
            <w:vAlign w:val="center"/>
          </w:tcPr>
          <w:p w:rsidR="005428CD" w:rsidRPr="00B12C2D" w:rsidRDefault="005428CD" w:rsidP="00B81256">
            <w:pPr>
              <w:jc w:val="center"/>
              <w:rPr>
                <w:rFonts w:ascii="Segoe UI" w:hAnsi="Segoe UI" w:cs="Segoe UI"/>
                <w:sz w:val="18"/>
                <w:szCs w:val="18"/>
              </w:rPr>
            </w:pPr>
          </w:p>
        </w:tc>
        <w:tc>
          <w:tcPr>
            <w:tcW w:w="1350" w:type="dxa"/>
            <w:vAlign w:val="center"/>
          </w:tcPr>
          <w:p w:rsidR="005428CD" w:rsidRPr="00B12C2D" w:rsidRDefault="005428CD" w:rsidP="00B81256">
            <w:pPr>
              <w:jc w:val="center"/>
              <w:rPr>
                <w:rFonts w:ascii="Segoe UI" w:hAnsi="Segoe UI" w:cs="Segoe UI"/>
                <w:sz w:val="18"/>
                <w:szCs w:val="18"/>
              </w:rPr>
            </w:pPr>
          </w:p>
        </w:tc>
        <w:tc>
          <w:tcPr>
            <w:tcW w:w="1867" w:type="dxa"/>
            <w:vAlign w:val="center"/>
          </w:tcPr>
          <w:p w:rsidR="005428CD" w:rsidRPr="00B12C2D" w:rsidRDefault="005428CD" w:rsidP="00B81256">
            <w:pPr>
              <w:jc w:val="center"/>
              <w:rPr>
                <w:rFonts w:ascii="Segoe UI" w:hAnsi="Segoe UI" w:cs="Segoe UI"/>
                <w:sz w:val="18"/>
                <w:szCs w:val="18"/>
              </w:rPr>
            </w:pPr>
          </w:p>
        </w:tc>
        <w:tc>
          <w:tcPr>
            <w:tcW w:w="1823" w:type="dxa"/>
            <w:vMerge/>
          </w:tcPr>
          <w:p w:rsidR="005428CD" w:rsidRPr="00B12C2D" w:rsidRDefault="005428CD" w:rsidP="00B81256">
            <w:pPr>
              <w:jc w:val="center"/>
              <w:rPr>
                <w:rFonts w:ascii="Segoe UI" w:hAnsi="Segoe UI" w:cs="Segoe UI"/>
                <w:sz w:val="20"/>
              </w:rPr>
            </w:pPr>
          </w:p>
        </w:tc>
      </w:tr>
      <w:tr w:rsidR="005428CD" w:rsidRPr="00B12C2D" w:rsidTr="006D5C7C">
        <w:trPr>
          <w:trHeight w:val="431"/>
        </w:trPr>
        <w:tc>
          <w:tcPr>
            <w:tcW w:w="1530" w:type="dxa"/>
            <w:vAlign w:val="center"/>
          </w:tcPr>
          <w:p w:rsidR="005428CD" w:rsidRPr="00B12C2D" w:rsidRDefault="005428CD" w:rsidP="00B81256">
            <w:pPr>
              <w:jc w:val="center"/>
              <w:rPr>
                <w:rFonts w:ascii="Segoe UI" w:hAnsi="Segoe UI" w:cs="Segoe UI"/>
                <w:sz w:val="18"/>
                <w:szCs w:val="18"/>
              </w:rPr>
            </w:pPr>
          </w:p>
        </w:tc>
        <w:tc>
          <w:tcPr>
            <w:tcW w:w="1170" w:type="dxa"/>
            <w:vAlign w:val="center"/>
          </w:tcPr>
          <w:p w:rsidR="005428CD" w:rsidRPr="00B12C2D" w:rsidRDefault="005428CD" w:rsidP="00B81256">
            <w:pPr>
              <w:jc w:val="center"/>
              <w:rPr>
                <w:rFonts w:ascii="Segoe UI" w:hAnsi="Segoe UI" w:cs="Segoe UI"/>
                <w:sz w:val="18"/>
                <w:szCs w:val="18"/>
              </w:rPr>
            </w:pPr>
          </w:p>
        </w:tc>
        <w:tc>
          <w:tcPr>
            <w:tcW w:w="1260" w:type="dxa"/>
            <w:vAlign w:val="center"/>
          </w:tcPr>
          <w:p w:rsidR="005428CD" w:rsidRPr="00B12C2D" w:rsidRDefault="005428CD" w:rsidP="00B81256">
            <w:pPr>
              <w:jc w:val="center"/>
              <w:rPr>
                <w:rFonts w:ascii="Segoe UI" w:hAnsi="Segoe UI" w:cs="Segoe UI"/>
                <w:sz w:val="18"/>
                <w:szCs w:val="18"/>
              </w:rPr>
            </w:pPr>
          </w:p>
        </w:tc>
        <w:tc>
          <w:tcPr>
            <w:tcW w:w="1710" w:type="dxa"/>
            <w:vAlign w:val="center"/>
          </w:tcPr>
          <w:p w:rsidR="005428CD" w:rsidRPr="00B12C2D" w:rsidRDefault="005428CD" w:rsidP="00B81256">
            <w:pPr>
              <w:jc w:val="center"/>
              <w:rPr>
                <w:rFonts w:ascii="Segoe UI" w:hAnsi="Segoe UI" w:cs="Segoe UI"/>
                <w:sz w:val="18"/>
                <w:szCs w:val="18"/>
              </w:rPr>
            </w:pPr>
          </w:p>
        </w:tc>
        <w:tc>
          <w:tcPr>
            <w:tcW w:w="1350" w:type="dxa"/>
            <w:vAlign w:val="center"/>
          </w:tcPr>
          <w:p w:rsidR="005428CD" w:rsidRPr="00B12C2D" w:rsidRDefault="005428CD" w:rsidP="00B81256">
            <w:pPr>
              <w:jc w:val="center"/>
              <w:rPr>
                <w:rFonts w:ascii="Segoe UI" w:hAnsi="Segoe UI" w:cs="Segoe UI"/>
                <w:sz w:val="18"/>
                <w:szCs w:val="18"/>
              </w:rPr>
            </w:pPr>
          </w:p>
        </w:tc>
        <w:tc>
          <w:tcPr>
            <w:tcW w:w="1867" w:type="dxa"/>
            <w:vAlign w:val="center"/>
          </w:tcPr>
          <w:p w:rsidR="005428CD" w:rsidRPr="00B12C2D" w:rsidRDefault="005428CD" w:rsidP="00B81256">
            <w:pPr>
              <w:jc w:val="center"/>
              <w:rPr>
                <w:rFonts w:ascii="Segoe UI" w:hAnsi="Segoe UI" w:cs="Segoe UI"/>
                <w:sz w:val="18"/>
                <w:szCs w:val="18"/>
              </w:rPr>
            </w:pPr>
          </w:p>
        </w:tc>
        <w:tc>
          <w:tcPr>
            <w:tcW w:w="1823" w:type="dxa"/>
            <w:vMerge/>
          </w:tcPr>
          <w:p w:rsidR="005428CD" w:rsidRPr="00B12C2D" w:rsidRDefault="005428CD" w:rsidP="00B81256">
            <w:pPr>
              <w:jc w:val="center"/>
              <w:rPr>
                <w:rFonts w:ascii="Segoe UI" w:hAnsi="Segoe UI" w:cs="Segoe UI"/>
                <w:sz w:val="20"/>
              </w:rPr>
            </w:pPr>
          </w:p>
        </w:tc>
      </w:tr>
      <w:tr w:rsidR="005428CD" w:rsidRPr="00B12C2D" w:rsidTr="006D5C7C">
        <w:trPr>
          <w:trHeight w:val="431"/>
        </w:trPr>
        <w:tc>
          <w:tcPr>
            <w:tcW w:w="1530" w:type="dxa"/>
            <w:vAlign w:val="center"/>
          </w:tcPr>
          <w:p w:rsidR="005428CD" w:rsidRPr="00B12C2D" w:rsidRDefault="005428CD" w:rsidP="00B81256">
            <w:pPr>
              <w:jc w:val="center"/>
              <w:rPr>
                <w:rFonts w:ascii="Segoe UI" w:hAnsi="Segoe UI" w:cs="Segoe UI"/>
                <w:sz w:val="18"/>
                <w:szCs w:val="18"/>
              </w:rPr>
            </w:pPr>
          </w:p>
        </w:tc>
        <w:tc>
          <w:tcPr>
            <w:tcW w:w="1170" w:type="dxa"/>
            <w:vAlign w:val="center"/>
          </w:tcPr>
          <w:p w:rsidR="005428CD" w:rsidRPr="00B12C2D" w:rsidRDefault="005428CD" w:rsidP="00B81256">
            <w:pPr>
              <w:jc w:val="center"/>
              <w:rPr>
                <w:rFonts w:ascii="Segoe UI" w:hAnsi="Segoe UI" w:cs="Segoe UI"/>
                <w:sz w:val="18"/>
                <w:szCs w:val="18"/>
              </w:rPr>
            </w:pPr>
          </w:p>
        </w:tc>
        <w:tc>
          <w:tcPr>
            <w:tcW w:w="1260" w:type="dxa"/>
            <w:vAlign w:val="center"/>
          </w:tcPr>
          <w:p w:rsidR="005428CD" w:rsidRPr="00B12C2D" w:rsidRDefault="005428CD" w:rsidP="00B81256">
            <w:pPr>
              <w:jc w:val="center"/>
              <w:rPr>
                <w:rFonts w:ascii="Segoe UI" w:hAnsi="Segoe UI" w:cs="Segoe UI"/>
                <w:sz w:val="18"/>
                <w:szCs w:val="18"/>
              </w:rPr>
            </w:pPr>
          </w:p>
        </w:tc>
        <w:tc>
          <w:tcPr>
            <w:tcW w:w="1710" w:type="dxa"/>
            <w:vAlign w:val="center"/>
          </w:tcPr>
          <w:p w:rsidR="005428CD" w:rsidRPr="00B12C2D" w:rsidRDefault="005428CD" w:rsidP="00B81256">
            <w:pPr>
              <w:jc w:val="center"/>
              <w:rPr>
                <w:rFonts w:ascii="Segoe UI" w:hAnsi="Segoe UI" w:cs="Segoe UI"/>
                <w:sz w:val="18"/>
                <w:szCs w:val="18"/>
              </w:rPr>
            </w:pPr>
          </w:p>
        </w:tc>
        <w:tc>
          <w:tcPr>
            <w:tcW w:w="1350" w:type="dxa"/>
            <w:vAlign w:val="center"/>
          </w:tcPr>
          <w:p w:rsidR="005428CD" w:rsidRPr="00B12C2D" w:rsidRDefault="005428CD" w:rsidP="00B81256">
            <w:pPr>
              <w:jc w:val="center"/>
              <w:rPr>
                <w:rFonts w:ascii="Segoe UI" w:hAnsi="Segoe UI" w:cs="Segoe UI"/>
                <w:sz w:val="18"/>
                <w:szCs w:val="18"/>
              </w:rPr>
            </w:pPr>
          </w:p>
        </w:tc>
        <w:tc>
          <w:tcPr>
            <w:tcW w:w="1867" w:type="dxa"/>
            <w:vAlign w:val="center"/>
          </w:tcPr>
          <w:p w:rsidR="005428CD" w:rsidRPr="00B12C2D" w:rsidRDefault="005428CD" w:rsidP="00B81256">
            <w:pPr>
              <w:jc w:val="center"/>
              <w:rPr>
                <w:rFonts w:ascii="Segoe UI" w:hAnsi="Segoe UI" w:cs="Segoe UI"/>
                <w:sz w:val="18"/>
                <w:szCs w:val="18"/>
              </w:rPr>
            </w:pPr>
          </w:p>
        </w:tc>
        <w:tc>
          <w:tcPr>
            <w:tcW w:w="1823" w:type="dxa"/>
            <w:vMerge/>
          </w:tcPr>
          <w:p w:rsidR="005428CD" w:rsidRPr="00B12C2D" w:rsidRDefault="005428CD" w:rsidP="00B81256">
            <w:pPr>
              <w:jc w:val="center"/>
              <w:rPr>
                <w:rFonts w:ascii="Segoe UI" w:hAnsi="Segoe UI" w:cs="Segoe UI"/>
                <w:sz w:val="20"/>
              </w:rPr>
            </w:pPr>
          </w:p>
        </w:tc>
      </w:tr>
      <w:tr w:rsidR="005428CD" w:rsidRPr="00B12C2D" w:rsidTr="006D5C7C">
        <w:trPr>
          <w:trHeight w:val="431"/>
        </w:trPr>
        <w:tc>
          <w:tcPr>
            <w:tcW w:w="1530" w:type="dxa"/>
            <w:vAlign w:val="center"/>
          </w:tcPr>
          <w:p w:rsidR="005428CD" w:rsidRPr="00B12C2D" w:rsidRDefault="005428CD" w:rsidP="00B81256">
            <w:pPr>
              <w:jc w:val="center"/>
              <w:rPr>
                <w:rFonts w:ascii="Segoe UI" w:hAnsi="Segoe UI" w:cs="Segoe UI"/>
                <w:sz w:val="18"/>
                <w:szCs w:val="18"/>
              </w:rPr>
            </w:pPr>
          </w:p>
        </w:tc>
        <w:tc>
          <w:tcPr>
            <w:tcW w:w="1170" w:type="dxa"/>
            <w:vAlign w:val="center"/>
          </w:tcPr>
          <w:p w:rsidR="005428CD" w:rsidRPr="00B12C2D" w:rsidRDefault="005428CD" w:rsidP="00B81256">
            <w:pPr>
              <w:jc w:val="center"/>
              <w:rPr>
                <w:rFonts w:ascii="Segoe UI" w:hAnsi="Segoe UI" w:cs="Segoe UI"/>
                <w:sz w:val="18"/>
                <w:szCs w:val="18"/>
              </w:rPr>
            </w:pPr>
          </w:p>
        </w:tc>
        <w:tc>
          <w:tcPr>
            <w:tcW w:w="1260" w:type="dxa"/>
            <w:vAlign w:val="center"/>
          </w:tcPr>
          <w:p w:rsidR="005428CD" w:rsidRPr="00B12C2D" w:rsidRDefault="005428CD" w:rsidP="00B81256">
            <w:pPr>
              <w:jc w:val="center"/>
              <w:rPr>
                <w:rFonts w:ascii="Segoe UI" w:hAnsi="Segoe UI" w:cs="Segoe UI"/>
                <w:sz w:val="18"/>
                <w:szCs w:val="18"/>
              </w:rPr>
            </w:pPr>
          </w:p>
        </w:tc>
        <w:tc>
          <w:tcPr>
            <w:tcW w:w="1710" w:type="dxa"/>
            <w:vAlign w:val="center"/>
          </w:tcPr>
          <w:p w:rsidR="005428CD" w:rsidRPr="00B12C2D" w:rsidRDefault="005428CD" w:rsidP="00B81256">
            <w:pPr>
              <w:jc w:val="center"/>
              <w:rPr>
                <w:rFonts w:ascii="Segoe UI" w:hAnsi="Segoe UI" w:cs="Segoe UI"/>
                <w:sz w:val="18"/>
                <w:szCs w:val="18"/>
              </w:rPr>
            </w:pPr>
          </w:p>
        </w:tc>
        <w:tc>
          <w:tcPr>
            <w:tcW w:w="1350" w:type="dxa"/>
            <w:vAlign w:val="center"/>
          </w:tcPr>
          <w:p w:rsidR="005428CD" w:rsidRPr="00B12C2D" w:rsidRDefault="005428CD" w:rsidP="00B81256">
            <w:pPr>
              <w:jc w:val="center"/>
              <w:rPr>
                <w:rFonts w:ascii="Segoe UI" w:hAnsi="Segoe UI" w:cs="Segoe UI"/>
                <w:sz w:val="18"/>
                <w:szCs w:val="18"/>
              </w:rPr>
            </w:pPr>
          </w:p>
        </w:tc>
        <w:tc>
          <w:tcPr>
            <w:tcW w:w="1867" w:type="dxa"/>
            <w:vAlign w:val="center"/>
          </w:tcPr>
          <w:p w:rsidR="005428CD" w:rsidRPr="00B12C2D" w:rsidRDefault="005428CD" w:rsidP="00B81256">
            <w:pPr>
              <w:jc w:val="center"/>
              <w:rPr>
                <w:rFonts w:ascii="Segoe UI" w:hAnsi="Segoe UI" w:cs="Segoe UI"/>
                <w:sz w:val="18"/>
                <w:szCs w:val="18"/>
              </w:rPr>
            </w:pPr>
          </w:p>
        </w:tc>
        <w:tc>
          <w:tcPr>
            <w:tcW w:w="1823" w:type="dxa"/>
            <w:vMerge/>
          </w:tcPr>
          <w:p w:rsidR="005428CD" w:rsidRPr="00B12C2D" w:rsidRDefault="005428CD" w:rsidP="00B81256">
            <w:pPr>
              <w:jc w:val="center"/>
              <w:rPr>
                <w:rFonts w:ascii="Segoe UI" w:hAnsi="Segoe UI" w:cs="Segoe UI"/>
                <w:sz w:val="20"/>
              </w:rPr>
            </w:pPr>
          </w:p>
        </w:tc>
      </w:tr>
      <w:tr w:rsidR="005428CD" w:rsidRPr="00B12C2D" w:rsidTr="006D5C7C">
        <w:trPr>
          <w:trHeight w:val="449"/>
        </w:trPr>
        <w:tc>
          <w:tcPr>
            <w:tcW w:w="1530" w:type="dxa"/>
            <w:vAlign w:val="center"/>
          </w:tcPr>
          <w:p w:rsidR="005428CD" w:rsidRPr="00B12C2D" w:rsidRDefault="005428CD" w:rsidP="00B81256">
            <w:pPr>
              <w:jc w:val="center"/>
              <w:rPr>
                <w:rFonts w:ascii="Segoe UI" w:hAnsi="Segoe UI" w:cs="Segoe UI"/>
                <w:sz w:val="18"/>
                <w:szCs w:val="18"/>
              </w:rPr>
            </w:pPr>
          </w:p>
        </w:tc>
        <w:tc>
          <w:tcPr>
            <w:tcW w:w="1170" w:type="dxa"/>
            <w:vAlign w:val="center"/>
          </w:tcPr>
          <w:p w:rsidR="005428CD" w:rsidRPr="00B12C2D" w:rsidRDefault="005428CD" w:rsidP="00B81256">
            <w:pPr>
              <w:jc w:val="center"/>
              <w:rPr>
                <w:rFonts w:ascii="Segoe UI" w:hAnsi="Segoe UI" w:cs="Segoe UI"/>
                <w:sz w:val="18"/>
                <w:szCs w:val="18"/>
              </w:rPr>
            </w:pPr>
          </w:p>
        </w:tc>
        <w:tc>
          <w:tcPr>
            <w:tcW w:w="1260" w:type="dxa"/>
            <w:vAlign w:val="center"/>
          </w:tcPr>
          <w:p w:rsidR="005428CD" w:rsidRPr="00B12C2D" w:rsidRDefault="005428CD" w:rsidP="00B81256">
            <w:pPr>
              <w:jc w:val="center"/>
              <w:rPr>
                <w:rFonts w:ascii="Segoe UI" w:hAnsi="Segoe UI" w:cs="Segoe UI"/>
                <w:sz w:val="18"/>
                <w:szCs w:val="18"/>
              </w:rPr>
            </w:pPr>
          </w:p>
        </w:tc>
        <w:tc>
          <w:tcPr>
            <w:tcW w:w="1710" w:type="dxa"/>
            <w:vAlign w:val="center"/>
          </w:tcPr>
          <w:p w:rsidR="005428CD" w:rsidRPr="00B12C2D" w:rsidRDefault="005428CD" w:rsidP="00B81256">
            <w:pPr>
              <w:jc w:val="center"/>
              <w:rPr>
                <w:rFonts w:ascii="Segoe UI" w:hAnsi="Segoe UI" w:cs="Segoe UI"/>
                <w:sz w:val="18"/>
                <w:szCs w:val="18"/>
              </w:rPr>
            </w:pPr>
          </w:p>
        </w:tc>
        <w:tc>
          <w:tcPr>
            <w:tcW w:w="1350" w:type="dxa"/>
            <w:vAlign w:val="center"/>
          </w:tcPr>
          <w:p w:rsidR="005428CD" w:rsidRPr="00B12C2D" w:rsidRDefault="005428CD" w:rsidP="00B81256">
            <w:pPr>
              <w:jc w:val="center"/>
              <w:rPr>
                <w:rFonts w:ascii="Segoe UI" w:hAnsi="Segoe UI" w:cs="Segoe UI"/>
                <w:sz w:val="18"/>
                <w:szCs w:val="18"/>
              </w:rPr>
            </w:pPr>
          </w:p>
        </w:tc>
        <w:tc>
          <w:tcPr>
            <w:tcW w:w="1867" w:type="dxa"/>
            <w:vAlign w:val="center"/>
          </w:tcPr>
          <w:p w:rsidR="005428CD" w:rsidRPr="00B12C2D" w:rsidRDefault="005428CD" w:rsidP="00B81256">
            <w:pPr>
              <w:jc w:val="center"/>
              <w:rPr>
                <w:rFonts w:ascii="Segoe UI" w:hAnsi="Segoe UI" w:cs="Segoe UI"/>
                <w:sz w:val="18"/>
                <w:szCs w:val="18"/>
              </w:rPr>
            </w:pPr>
          </w:p>
        </w:tc>
        <w:tc>
          <w:tcPr>
            <w:tcW w:w="1823" w:type="dxa"/>
            <w:vMerge/>
          </w:tcPr>
          <w:p w:rsidR="005428CD" w:rsidRPr="00B12C2D" w:rsidRDefault="005428CD" w:rsidP="00B81256">
            <w:pPr>
              <w:jc w:val="center"/>
              <w:rPr>
                <w:rFonts w:ascii="Segoe UI" w:hAnsi="Segoe UI" w:cs="Segoe UI"/>
                <w:sz w:val="20"/>
              </w:rPr>
            </w:pPr>
          </w:p>
        </w:tc>
      </w:tr>
      <w:tr w:rsidR="005428CD" w:rsidRPr="00B12C2D" w:rsidTr="006D5C7C">
        <w:trPr>
          <w:cantSplit/>
          <w:trHeight w:val="260"/>
        </w:trPr>
        <w:tc>
          <w:tcPr>
            <w:tcW w:w="8887" w:type="dxa"/>
            <w:gridSpan w:val="6"/>
            <w:tcBorders>
              <w:right w:val="single" w:sz="4" w:space="0" w:color="auto"/>
            </w:tcBorders>
          </w:tcPr>
          <w:p w:rsidR="005428CD" w:rsidRPr="00B12C2D" w:rsidRDefault="005428CD" w:rsidP="00B81256">
            <w:pPr>
              <w:rPr>
                <w:rFonts w:ascii="Segoe UI" w:hAnsi="Segoe UI" w:cs="Segoe UI"/>
                <w:b/>
                <w:sz w:val="18"/>
                <w:szCs w:val="18"/>
              </w:rPr>
            </w:pPr>
            <w:r w:rsidRPr="00B12C2D">
              <w:rPr>
                <w:rFonts w:ascii="Segoe UI" w:eastAsia="Segoe UI" w:hAnsi="Segoe UI" w:cs="Segoe UI"/>
                <w:b/>
                <w:sz w:val="18"/>
                <w:szCs w:val="18"/>
                <w:lang w:bidi="uk-UA"/>
              </w:rPr>
              <w:t>Реабілітаційна техніка/послуги, зміни в програмі або допомога шкільному персоналу, які необхідні протягом ESY:</w:t>
            </w:r>
          </w:p>
        </w:tc>
        <w:tc>
          <w:tcPr>
            <w:tcW w:w="1823" w:type="dxa"/>
            <w:vMerge/>
          </w:tcPr>
          <w:p w:rsidR="005428CD" w:rsidRPr="00B12C2D" w:rsidRDefault="005428CD" w:rsidP="00B81256">
            <w:pPr>
              <w:rPr>
                <w:rFonts w:ascii="Segoe UI" w:hAnsi="Segoe UI" w:cs="Segoe UI"/>
                <w:b/>
                <w:sz w:val="22"/>
                <w:szCs w:val="18"/>
              </w:rPr>
            </w:pPr>
          </w:p>
        </w:tc>
      </w:tr>
      <w:tr w:rsidR="005428CD" w:rsidRPr="00B12C2D" w:rsidTr="006D5C7C">
        <w:trPr>
          <w:cantSplit/>
          <w:trHeight w:val="422"/>
        </w:trPr>
        <w:tc>
          <w:tcPr>
            <w:tcW w:w="8887" w:type="dxa"/>
            <w:gridSpan w:val="6"/>
            <w:vAlign w:val="center"/>
          </w:tcPr>
          <w:p w:rsidR="005428CD" w:rsidRPr="00B12C2D" w:rsidRDefault="005428CD" w:rsidP="00B81256">
            <w:pPr>
              <w:rPr>
                <w:rFonts w:ascii="Segoe UI" w:hAnsi="Segoe UI" w:cs="Segoe UI"/>
                <w:sz w:val="18"/>
                <w:szCs w:val="18"/>
              </w:rPr>
            </w:pPr>
          </w:p>
        </w:tc>
        <w:tc>
          <w:tcPr>
            <w:tcW w:w="1823" w:type="dxa"/>
            <w:vMerge/>
            <w:shd w:val="clear" w:color="auto" w:fill="FFFFFF"/>
          </w:tcPr>
          <w:p w:rsidR="005428CD" w:rsidRPr="00B12C2D" w:rsidRDefault="005428CD" w:rsidP="00B81256">
            <w:pPr>
              <w:rPr>
                <w:rFonts w:ascii="Segoe UI" w:hAnsi="Segoe UI" w:cs="Segoe UI"/>
                <w:sz w:val="20"/>
              </w:rPr>
            </w:pPr>
          </w:p>
        </w:tc>
      </w:tr>
      <w:tr w:rsidR="005428CD" w:rsidRPr="00B12C2D" w:rsidTr="006D5C7C">
        <w:trPr>
          <w:cantSplit/>
          <w:trHeight w:val="422"/>
        </w:trPr>
        <w:tc>
          <w:tcPr>
            <w:tcW w:w="8887" w:type="dxa"/>
            <w:gridSpan w:val="6"/>
            <w:vAlign w:val="center"/>
          </w:tcPr>
          <w:p w:rsidR="005428CD" w:rsidRPr="00B12C2D" w:rsidRDefault="005428CD" w:rsidP="00B81256">
            <w:pPr>
              <w:rPr>
                <w:rFonts w:ascii="Segoe UI" w:hAnsi="Segoe UI" w:cs="Segoe UI"/>
                <w:sz w:val="18"/>
                <w:szCs w:val="18"/>
              </w:rPr>
            </w:pPr>
          </w:p>
        </w:tc>
        <w:tc>
          <w:tcPr>
            <w:tcW w:w="1823" w:type="dxa"/>
            <w:vMerge/>
            <w:shd w:val="clear" w:color="auto" w:fill="FFFFFF"/>
          </w:tcPr>
          <w:p w:rsidR="005428CD" w:rsidRPr="00B12C2D" w:rsidRDefault="005428CD" w:rsidP="00B81256">
            <w:pPr>
              <w:rPr>
                <w:rFonts w:ascii="Segoe UI" w:hAnsi="Segoe UI" w:cs="Segoe UI"/>
                <w:sz w:val="20"/>
              </w:rPr>
            </w:pPr>
          </w:p>
        </w:tc>
      </w:tr>
      <w:tr w:rsidR="005428CD" w:rsidRPr="00B12C2D" w:rsidTr="006D5C7C">
        <w:trPr>
          <w:cantSplit/>
          <w:trHeight w:val="440"/>
        </w:trPr>
        <w:tc>
          <w:tcPr>
            <w:tcW w:w="8887" w:type="dxa"/>
            <w:gridSpan w:val="6"/>
            <w:vAlign w:val="center"/>
          </w:tcPr>
          <w:p w:rsidR="005428CD" w:rsidRPr="00B12C2D" w:rsidRDefault="005428CD" w:rsidP="00B81256">
            <w:pPr>
              <w:rPr>
                <w:rFonts w:ascii="Segoe UI" w:hAnsi="Segoe UI" w:cs="Segoe UI"/>
                <w:sz w:val="18"/>
                <w:szCs w:val="18"/>
              </w:rPr>
            </w:pPr>
          </w:p>
        </w:tc>
        <w:tc>
          <w:tcPr>
            <w:tcW w:w="1823" w:type="dxa"/>
            <w:vMerge/>
            <w:shd w:val="clear" w:color="auto" w:fill="FFFFFF"/>
          </w:tcPr>
          <w:p w:rsidR="005428CD" w:rsidRPr="00B12C2D" w:rsidRDefault="005428CD" w:rsidP="00B81256">
            <w:pPr>
              <w:rPr>
                <w:rFonts w:ascii="Segoe UI" w:hAnsi="Segoe UI" w:cs="Segoe UI"/>
                <w:sz w:val="20"/>
              </w:rPr>
            </w:pPr>
          </w:p>
        </w:tc>
      </w:tr>
    </w:tbl>
    <w:p w:rsidR="005428CD" w:rsidRPr="00B12C2D" w:rsidRDefault="005428CD" w:rsidP="005428CD">
      <w:pPr>
        <w:rPr>
          <w:rFonts w:ascii="Segoe UI" w:hAnsi="Segoe UI" w:cs="Segoe UI"/>
          <w:sz w:val="6"/>
          <w:szCs w:val="6"/>
        </w:rPr>
      </w:pPr>
    </w:p>
    <w:p w:rsidR="00CC5648" w:rsidRPr="00B12C2D" w:rsidRDefault="00F263DF" w:rsidP="00F263DF">
      <w:pPr>
        <w:pStyle w:val="MonthlyUpdateText"/>
        <w:spacing w:before="240" w:after="0"/>
        <w:rPr>
          <w:rFonts w:cs="Segoe UI"/>
          <w:sz w:val="2"/>
          <w:szCs w:val="2"/>
        </w:rPr>
      </w:pPr>
      <w:r w:rsidRPr="00B12C2D">
        <w:rPr>
          <w:rFonts w:cs="Segoe UI"/>
          <w:noProof/>
          <w:sz w:val="16"/>
          <w:szCs w:val="16"/>
          <w:lang w:bidi="uk-UA"/>
        </w:rPr>
        <w:drawing>
          <wp:inline distT="0" distB="0" distL="0" distR="0" wp14:anchorId="1E780F45" wp14:editId="7EEE924B">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B12C2D">
        <w:rPr>
          <w:rFonts w:cs="Segoe UI"/>
          <w:sz w:val="18"/>
          <w:szCs w:val="20"/>
          <w:lang w:bidi="uk-UA"/>
        </w:rPr>
        <w:t xml:space="preserve"> </w:t>
      </w:r>
      <w:r w:rsidRPr="00B12C2D">
        <w:rPr>
          <w:rFonts w:cs="Segoe UI"/>
          <w:sz w:val="16"/>
          <w:szCs w:val="16"/>
          <w:lang w:bidi="uk-UA"/>
        </w:rPr>
        <w:t xml:space="preserve">Доповнення — подовжений навчальний рік (ESY) від </w:t>
      </w:r>
      <w:hyperlink r:id="rId9" w:history="1">
        <w:r w:rsidRPr="00B12C2D">
          <w:rPr>
            <w:rStyle w:val="Hyperlink"/>
            <w:rFonts w:eastAsia="Times" w:cs="Segoe UI"/>
            <w:sz w:val="16"/>
            <w:szCs w:val="16"/>
            <w:lang w:bidi="uk-UA"/>
          </w:rPr>
          <w:t>Офісу головного інспектора державної освіти штату (Office of Superintendent of Public Instruction)</w:t>
        </w:r>
      </w:hyperlink>
      <w:r w:rsidRPr="00B12C2D">
        <w:rPr>
          <w:rFonts w:cs="Segoe UI"/>
          <w:sz w:val="16"/>
          <w:szCs w:val="16"/>
          <w:lang w:bidi="uk-UA"/>
        </w:rPr>
        <w:t xml:space="preserve"> надається за міжнародною ліцензією </w:t>
      </w:r>
      <w:hyperlink r:id="rId10" w:history="1">
        <w:r w:rsidRPr="00B12C2D">
          <w:rPr>
            <w:rStyle w:val="Hyperlink"/>
            <w:rFonts w:eastAsia="Times" w:cs="Segoe UI"/>
            <w:sz w:val="16"/>
            <w:szCs w:val="16"/>
            <w:lang w:bidi="uk-UA"/>
          </w:rPr>
          <w:t>Creative Commons Attribution 4.0 International License</w:t>
        </w:r>
      </w:hyperlink>
      <w:r w:rsidRPr="00B12C2D">
        <w:rPr>
          <w:rFonts w:cs="Segoe UI"/>
          <w:sz w:val="16"/>
          <w:szCs w:val="16"/>
          <w:lang w:bidi="uk-UA"/>
        </w:rPr>
        <w:t>.</w:t>
      </w:r>
    </w:p>
    <w:sectPr w:rsidR="00CC5648" w:rsidRPr="00B12C2D" w:rsidSect="00B31184">
      <w:footerReference w:type="default" r:id="rId11"/>
      <w:pgSz w:w="12240" w:h="15840" w:code="1"/>
      <w:pgMar w:top="1152" w:right="1152" w:bottom="1152"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0CC" w:rsidRDefault="00E40A9E">
      <w:r>
        <w:separator/>
      </w:r>
    </w:p>
  </w:endnote>
  <w:endnote w:type="continuationSeparator" w:id="0">
    <w:p w:rsidR="006750CC" w:rsidRDefault="00E40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5CF" w:rsidRPr="00F263DF" w:rsidRDefault="00F263DF" w:rsidP="00F263DF">
    <w:pPr>
      <w:pStyle w:val="Footer"/>
      <w:rPr>
        <w:rFonts w:ascii="Segoe UI" w:hAnsi="Segoe UI" w:cs="Segoe UI"/>
        <w:sz w:val="20"/>
      </w:rPr>
    </w:pPr>
    <w:r>
      <w:rPr>
        <w:rFonts w:ascii="Segoe UI" w:eastAsia="Segoe UI" w:hAnsi="Segoe UI" w:cs="Segoe UI"/>
        <w:sz w:val="18"/>
        <w:szCs w:val="18"/>
        <w:lang w:bidi="uk-UA"/>
      </w:rPr>
      <w:t xml:space="preserve">Форма 6f — Подовжений навчальний рік </w:t>
    </w:r>
    <w:r w:rsidRPr="00F263DF">
      <w:rPr>
        <w:rFonts w:ascii="Segoe UI" w:eastAsia="Segoe UI" w:hAnsi="Segoe UI" w:cs="Segoe UI"/>
        <w:sz w:val="20"/>
        <w:lang w:bidi="uk-UA"/>
      </w:rPr>
      <w:ptab w:relativeTo="margin" w:alignment="center" w:leader="none"/>
    </w:r>
    <w:r w:rsidRPr="00F263DF">
      <w:rPr>
        <w:rFonts w:ascii="Segoe UI" w:eastAsia="Segoe UI" w:hAnsi="Segoe UI" w:cs="Segoe UI"/>
        <w:sz w:val="20"/>
        <w:lang w:bidi="uk-UA"/>
      </w:rPr>
      <w:ptab w:relativeTo="margin" w:alignment="right" w:leader="none"/>
    </w:r>
    <w:r>
      <w:rPr>
        <w:rFonts w:ascii="Segoe UI" w:eastAsia="Segoe UI" w:hAnsi="Segoe UI" w:cs="Segoe UI"/>
        <w:sz w:val="18"/>
        <w:szCs w:val="18"/>
        <w:lang w:bidi="uk-UA"/>
      </w:rPr>
      <w:t>Серпень 2008 р. (ред.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0CC" w:rsidRDefault="00E40A9E">
      <w:r>
        <w:separator/>
      </w:r>
    </w:p>
  </w:footnote>
  <w:footnote w:type="continuationSeparator" w:id="0">
    <w:p w:rsidR="006750CC" w:rsidRDefault="00E40A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562BBBA"/>
    <w:lvl w:ilvl="0">
      <w:start w:val="1"/>
      <w:numFmt w:val="bullet"/>
      <w:lvlText w:val=""/>
      <w:lvlJc w:val="left"/>
      <w:pPr>
        <w:tabs>
          <w:tab w:val="num" w:pos="360"/>
        </w:tabs>
        <w:ind w:left="360" w:hanging="360"/>
      </w:pPr>
      <w:rPr>
        <w:rFonts w:ascii="Symbol" w:hAnsi="Symbol" w:hint="default"/>
        <w:sz w:val="18"/>
        <w:szCs w:val="18"/>
      </w:rPr>
    </w:lvl>
  </w:abstractNum>
  <w:abstractNum w:abstractNumId="1" w15:restartNumberingAfterBreak="0">
    <w:nsid w:val="00000005"/>
    <w:multiLevelType w:val="singleLevel"/>
    <w:tmpl w:val="25A0B09A"/>
    <w:lvl w:ilvl="0">
      <w:start w:val="1"/>
      <w:numFmt w:val="bullet"/>
      <w:lvlText w:val=""/>
      <w:lvlJc w:val="left"/>
      <w:pPr>
        <w:tabs>
          <w:tab w:val="num" w:pos="360"/>
        </w:tabs>
        <w:ind w:left="360" w:hanging="360"/>
      </w:pPr>
      <w:rPr>
        <w:rFonts w:ascii="Symbol" w:hAnsi="Symbol" w:hint="default"/>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8CD"/>
    <w:rsid w:val="000209E6"/>
    <w:rsid w:val="000E6BCB"/>
    <w:rsid w:val="001C3CC9"/>
    <w:rsid w:val="003A52A4"/>
    <w:rsid w:val="003A79AE"/>
    <w:rsid w:val="005428CD"/>
    <w:rsid w:val="005C35C7"/>
    <w:rsid w:val="00611B27"/>
    <w:rsid w:val="006328E8"/>
    <w:rsid w:val="006750CC"/>
    <w:rsid w:val="006D5C7C"/>
    <w:rsid w:val="007001E1"/>
    <w:rsid w:val="007C320D"/>
    <w:rsid w:val="007D306B"/>
    <w:rsid w:val="00980063"/>
    <w:rsid w:val="00A466A8"/>
    <w:rsid w:val="00B12C2D"/>
    <w:rsid w:val="00C95708"/>
    <w:rsid w:val="00CA0E74"/>
    <w:rsid w:val="00E40A9E"/>
    <w:rsid w:val="00F263DF"/>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1202F"/>
  <w15:chartTrackingRefBased/>
  <w15:docId w15:val="{024BBFB9-0ECD-413A-B06D-F1FB2FAE1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28CD"/>
    <w:pPr>
      <w:spacing w:after="0" w:line="240" w:lineRule="auto"/>
    </w:pPr>
    <w:rPr>
      <w:rFonts w:ascii="Times" w:eastAsia="Times" w:hAnsi="Times" w:cs="Times New Roman"/>
      <w:sz w:val="24"/>
      <w:szCs w:val="20"/>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paragraph" w:styleId="Heading2">
    <w:name w:val="heading 2"/>
    <w:basedOn w:val="Normal"/>
    <w:next w:val="Normal"/>
    <w:link w:val="Heading2Char"/>
    <w:qFormat/>
    <w:rsid w:val="005428CD"/>
    <w:pPr>
      <w:keepNext/>
      <w:outlineLvl w:val="1"/>
    </w:pPr>
    <w:rPr>
      <w:rFonts w:ascii="Times New Roman" w:eastAsia="Times New Roman" w:hAnsi="Times New Roman"/>
      <w:b/>
      <w:sz w:val="16"/>
    </w:rPr>
  </w:style>
  <w:style w:type="paragraph" w:styleId="Heading3">
    <w:name w:val="heading 3"/>
    <w:basedOn w:val="Normal"/>
    <w:next w:val="Normal"/>
    <w:link w:val="Heading3Char"/>
    <w:qFormat/>
    <w:rsid w:val="005428CD"/>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character" w:customStyle="1" w:styleId="Heading2Char">
    <w:name w:val="Heading 2 Char"/>
    <w:basedOn w:val="DefaultParagraphFont"/>
    <w:link w:val="Heading2"/>
    <w:rsid w:val="005428CD"/>
    <w:rPr>
      <w:rFonts w:ascii="Times New Roman" w:eastAsia="Times New Roman" w:hAnsi="Times New Roman" w:cs="Times New Roman"/>
      <w:b/>
      <w:sz w:val="16"/>
      <w:szCs w:val="20"/>
    </w:rPr>
  </w:style>
  <w:style w:type="character" w:customStyle="1" w:styleId="Heading3Char">
    <w:name w:val="Heading 3 Char"/>
    <w:basedOn w:val="DefaultParagraphFont"/>
    <w:link w:val="Heading3"/>
    <w:rsid w:val="005428CD"/>
    <w:rPr>
      <w:rFonts w:ascii="Times" w:eastAsia="Times" w:hAnsi="Times" w:cs="Times New Roman"/>
      <w:b/>
      <w:sz w:val="24"/>
      <w:szCs w:val="20"/>
    </w:rPr>
  </w:style>
  <w:style w:type="paragraph" w:styleId="BodyText">
    <w:name w:val="Body Text"/>
    <w:basedOn w:val="Normal"/>
    <w:link w:val="BodyTextChar"/>
    <w:rsid w:val="005428CD"/>
    <w:pPr>
      <w:jc w:val="right"/>
    </w:pPr>
    <w:rPr>
      <w:rFonts w:ascii="Arial" w:hAnsi="Arial"/>
      <w:b/>
      <w:sz w:val="48"/>
    </w:rPr>
  </w:style>
  <w:style w:type="character" w:customStyle="1" w:styleId="BodyTextChar">
    <w:name w:val="Body Text Char"/>
    <w:basedOn w:val="DefaultParagraphFont"/>
    <w:link w:val="BodyText"/>
    <w:rsid w:val="005428CD"/>
    <w:rPr>
      <w:rFonts w:ascii="Arial" w:eastAsia="Times" w:hAnsi="Arial" w:cs="Times New Roman"/>
      <w:b/>
      <w:sz w:val="48"/>
      <w:szCs w:val="20"/>
    </w:rPr>
  </w:style>
  <w:style w:type="paragraph" w:styleId="Footer">
    <w:name w:val="footer"/>
    <w:basedOn w:val="Normal"/>
    <w:link w:val="FooterChar"/>
    <w:uiPriority w:val="99"/>
    <w:unhideWhenUsed/>
    <w:rsid w:val="005428CD"/>
    <w:pPr>
      <w:tabs>
        <w:tab w:val="center" w:pos="4680"/>
        <w:tab w:val="right" w:pos="9360"/>
      </w:tabs>
    </w:pPr>
  </w:style>
  <w:style w:type="character" w:customStyle="1" w:styleId="FooterChar">
    <w:name w:val="Footer Char"/>
    <w:basedOn w:val="DefaultParagraphFont"/>
    <w:link w:val="Footer"/>
    <w:uiPriority w:val="99"/>
    <w:rsid w:val="005428CD"/>
    <w:rPr>
      <w:rFonts w:ascii="Times" w:eastAsia="Times" w:hAnsi="Times" w:cs="Times New Roman"/>
      <w:sz w:val="24"/>
      <w:szCs w:val="20"/>
    </w:rPr>
  </w:style>
  <w:style w:type="character" w:styleId="PageNumber">
    <w:name w:val="page number"/>
    <w:basedOn w:val="DefaultParagraphFont"/>
    <w:semiHidden/>
    <w:unhideWhenUsed/>
    <w:rsid w:val="005428CD"/>
  </w:style>
  <w:style w:type="paragraph" w:styleId="Header">
    <w:name w:val="header"/>
    <w:basedOn w:val="Normal"/>
    <w:link w:val="HeaderChar"/>
    <w:uiPriority w:val="99"/>
    <w:unhideWhenUsed/>
    <w:rsid w:val="00E40A9E"/>
    <w:pPr>
      <w:tabs>
        <w:tab w:val="center" w:pos="4680"/>
        <w:tab w:val="right" w:pos="9360"/>
      </w:tabs>
    </w:pPr>
  </w:style>
  <w:style w:type="character" w:customStyle="1" w:styleId="HeaderChar">
    <w:name w:val="Header Char"/>
    <w:basedOn w:val="DefaultParagraphFont"/>
    <w:link w:val="Header"/>
    <w:uiPriority w:val="99"/>
    <w:rsid w:val="00E40A9E"/>
    <w:rPr>
      <w:rFonts w:ascii="Times" w:eastAsia="Times" w:hAnsi="Times" w:cs="Times New Roman"/>
      <w:sz w:val="24"/>
      <w:szCs w:val="20"/>
    </w:rPr>
  </w:style>
  <w:style w:type="character" w:styleId="Hyperlink">
    <w:name w:val="Hyperlink"/>
    <w:rsid w:val="00F263DF"/>
    <w:rPr>
      <w:color w:val="0000FF"/>
      <w:u w:val="single"/>
    </w:rPr>
  </w:style>
  <w:style w:type="paragraph" w:customStyle="1" w:styleId="MonthlyUpdateText">
    <w:name w:val="Monthly Update Text"/>
    <w:qFormat/>
    <w:rsid w:val="00F263DF"/>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Додаток — подовжений навчальний рік (ESY)</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подовжений навчальний рік (ESY)</dc:title>
  <dc:subject/>
  <dc:creator>OSPI, Special Education</dc:creator>
  <cp:keywords>спеціальне навчання, модельні форми</cp:keywords>
  <dc:description/>
  <cp:lastModifiedBy>Dynamic Language</cp:lastModifiedBy>
  <cp:revision>4</cp:revision>
  <dcterms:created xsi:type="dcterms:W3CDTF">2019-05-23T19:31:00Z</dcterms:created>
  <dcterms:modified xsi:type="dcterms:W3CDTF">2019-05-29T17:45:00Z</dcterms:modified>
</cp:coreProperties>
</file>